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4bc9" w14:textId="7ba4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 сепаратистской и экстремистской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2005 года N 1074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 сепаратистской и экстремистской деятельности. </w:t>
      </w:r>
      <w:r>
        <w:br/>
      </w:r>
      <w:r>
        <w:rPr>
          <w:rFonts w:ascii="Times New Roman"/>
          <w:b w:val="false"/>
          <w:i w:val="false"/>
          <w:color w:val="000000"/>
          <w:sz w:val="28"/>
        </w:rPr>
        <w:t xml:space="preserve">
      2.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Соглашение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 сепаратистской и экстремистской деятельности, разрешив вносить в него изменения и дополнения, не имеющие принципиального характера.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30 мая 2006 года N  </w:t>
      </w:r>
      <w:r>
        <w:rPr>
          <w:rFonts w:ascii="Times New Roman"/>
          <w:b w:val="false"/>
          <w:i w:val="false"/>
          <w:color w:val="000000"/>
          <w:sz w:val="28"/>
        </w:rPr>
        <w:t xml:space="preserve">474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в области выявления и перекрытия </w:t>
      </w:r>
      <w:r>
        <w:br/>
      </w:r>
      <w:r>
        <w:rPr>
          <w:rFonts w:ascii="Times New Roman"/>
          <w:b/>
          <w:i w:val="false"/>
          <w:color w:val="000000"/>
        </w:rPr>
        <w:t xml:space="preserve">
каналов проникновения на территории государств-членов </w:t>
      </w:r>
      <w:r>
        <w:br/>
      </w:r>
      <w:r>
        <w:rPr>
          <w:rFonts w:ascii="Times New Roman"/>
          <w:b/>
          <w:i w:val="false"/>
          <w:color w:val="000000"/>
        </w:rPr>
        <w:t xml:space="preserve">
Шанхайской организации сотрудничества лиц, причастных к </w:t>
      </w:r>
      <w:r>
        <w:br/>
      </w:r>
      <w:r>
        <w:rPr>
          <w:rFonts w:ascii="Times New Roman"/>
          <w:b/>
          <w:i w:val="false"/>
          <w:color w:val="000000"/>
        </w:rPr>
        <w:t xml:space="preserve">
террористической, сепаратистской и экстремистской деятельности </w:t>
      </w:r>
    </w:p>
    <w:p>
      <w:pPr>
        <w:spacing w:after="0"/>
        <w:ind w:left="0"/>
        <w:jc w:val="both"/>
      </w:pPr>
      <w:r>
        <w:rPr>
          <w:rFonts w:ascii="Times New Roman"/>
          <w:b w:val="false"/>
          <w:i w:val="false"/>
          <w:color w:val="000000"/>
          <w:sz w:val="28"/>
        </w:rPr>
        <w:t xml:space="preserve">      Правительства государств-членов Шанхайской организации сотрудничества, далее именуемые Сторонами, </w:t>
      </w:r>
      <w:r>
        <w:br/>
      </w:r>
      <w:r>
        <w:rPr>
          <w:rFonts w:ascii="Times New Roman"/>
          <w:b w:val="false"/>
          <w:i w:val="false"/>
          <w:color w:val="000000"/>
          <w:sz w:val="28"/>
        </w:rPr>
        <w:t xml:space="preserve">
      в целях обеспечения эффективной борьбы с терроризмом, сепаратизмом и экстремизмом на территориях государств Сторон, </w:t>
      </w:r>
      <w:r>
        <w:br/>
      </w:r>
      <w:r>
        <w:rPr>
          <w:rFonts w:ascii="Times New Roman"/>
          <w:b w:val="false"/>
          <w:i w:val="false"/>
          <w:color w:val="000000"/>
          <w:sz w:val="28"/>
        </w:rPr>
        <w:t xml:space="preserve">
      сознавая, что проникновение на территорию государств Сторон лиц, причастных к террористической, сепаратистской и экстремистской деятельности представляет серьезную угрозу безопасности государствам Сторон, </w:t>
      </w:r>
      <w:r>
        <w:br/>
      </w:r>
      <w:r>
        <w:rPr>
          <w:rFonts w:ascii="Times New Roman"/>
          <w:b w:val="false"/>
          <w:i w:val="false"/>
          <w:color w:val="000000"/>
          <w:sz w:val="28"/>
        </w:rPr>
        <w:t>
      руководствуясь  </w:t>
      </w:r>
      <w:r>
        <w:rPr>
          <w:rFonts w:ascii="Times New Roman"/>
          <w:b w:val="false"/>
          <w:i w:val="false"/>
          <w:color w:val="000000"/>
          <w:sz w:val="28"/>
        </w:rPr>
        <w:t xml:space="preserve">Хартией </w:t>
      </w:r>
      <w:r>
        <w:rPr>
          <w:rFonts w:ascii="Times New Roman"/>
          <w:b w:val="false"/>
          <w:i w:val="false"/>
          <w:color w:val="000000"/>
          <w:sz w:val="28"/>
        </w:rPr>
        <w:t> Шанхайской организации сотрудничества от 7 июня 2002 года, Шанхайской  </w:t>
      </w:r>
      <w:r>
        <w:rPr>
          <w:rFonts w:ascii="Times New Roman"/>
          <w:b w:val="false"/>
          <w:i w:val="false"/>
          <w:color w:val="000000"/>
          <w:sz w:val="28"/>
        </w:rPr>
        <w:t xml:space="preserve">конвенцией </w:t>
      </w:r>
      <w:r>
        <w:rPr>
          <w:rFonts w:ascii="Times New Roman"/>
          <w:b w:val="false"/>
          <w:i w:val="false"/>
          <w:color w:val="000000"/>
          <w:sz w:val="28"/>
        </w:rPr>
        <w:t> о борьбе с терроризмом, сепаратизмом и экстремизмом от 15 июня 2001 года и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xml:space="preserve">
      исходя из взаимной заинтересованности в принятии эффективных мер, направленных на борьбу с терроризмом, сепаратизмом и экстремизмом, </w:t>
      </w:r>
      <w:r>
        <w:br/>
      </w:r>
      <w:r>
        <w:rPr>
          <w:rFonts w:ascii="Times New Roman"/>
          <w:b w:val="false"/>
          <w:i w:val="false"/>
          <w:color w:val="000000"/>
          <w:sz w:val="28"/>
        </w:rPr>
        <w:t xml:space="preserve">
      руководствуясь национальным законодательством и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применяемые в нем понятия означают: </w:t>
      </w:r>
      <w:r>
        <w:br/>
      </w:r>
      <w:r>
        <w:rPr>
          <w:rFonts w:ascii="Times New Roman"/>
          <w:b w:val="false"/>
          <w:i w:val="false"/>
          <w:color w:val="000000"/>
          <w:sz w:val="28"/>
        </w:rPr>
        <w:t>
      нарушители - лица, объявленные специальными службами и правоохранительными органами государств-членов ШОС в международный розыск за совершение или по подозрению в совершении актов терроризма, сепаратизма, экстремизма, как они определены в Шанхайской  </w:t>
      </w:r>
      <w:r>
        <w:rPr>
          <w:rFonts w:ascii="Times New Roman"/>
          <w:b w:val="false"/>
          <w:i w:val="false"/>
          <w:color w:val="000000"/>
          <w:sz w:val="28"/>
        </w:rPr>
        <w:t xml:space="preserve">конвенции </w:t>
      </w:r>
      <w:r>
        <w:rPr>
          <w:rFonts w:ascii="Times New Roman"/>
          <w:b w:val="false"/>
          <w:i w:val="false"/>
          <w:color w:val="000000"/>
          <w:sz w:val="28"/>
        </w:rPr>
        <w:t xml:space="preserve"> о борьбе с терроризмом, сепаратизмом и экстремизмом от 15 июня 2001 года; </w:t>
      </w:r>
      <w:r>
        <w:br/>
      </w:r>
      <w:r>
        <w:rPr>
          <w:rFonts w:ascii="Times New Roman"/>
          <w:b w:val="false"/>
          <w:i w:val="false"/>
          <w:color w:val="000000"/>
          <w:sz w:val="28"/>
        </w:rPr>
        <w:t xml:space="preserve">
      каналы проникновения - пути легального и нелегального проникновения нарушителей на территории государств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сотрудничают в целях выработки совместных мер по выявлению и перекрытию каналов проникновения, координируют свою деятельность в этом направлении, объединяют усилия государственных органов, общественных и иных организаций, граждан государств Сторон, а также используют возможности средств массовой информации в указанных целях.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сотрудничают в области выявления и перекрытия каналов проникновения по следующим основным направлениям: </w:t>
      </w:r>
      <w:r>
        <w:br/>
      </w:r>
      <w:r>
        <w:rPr>
          <w:rFonts w:ascii="Times New Roman"/>
          <w:b w:val="false"/>
          <w:i w:val="false"/>
          <w:color w:val="000000"/>
          <w:sz w:val="28"/>
        </w:rPr>
        <w:t xml:space="preserve">
      выработка согласованных подходов в области выявления и перекрытия каналов проникновения; </w:t>
      </w:r>
      <w:r>
        <w:br/>
      </w:r>
      <w:r>
        <w:rPr>
          <w:rFonts w:ascii="Times New Roman"/>
          <w:b w:val="false"/>
          <w:i w:val="false"/>
          <w:color w:val="000000"/>
          <w:sz w:val="28"/>
        </w:rPr>
        <w:t xml:space="preserve">
      выявление каналов проникновения, установление за ними контроля и/или их пресечение; </w:t>
      </w:r>
      <w:r>
        <w:br/>
      </w:r>
      <w:r>
        <w:rPr>
          <w:rFonts w:ascii="Times New Roman"/>
          <w:b w:val="false"/>
          <w:i w:val="false"/>
          <w:color w:val="000000"/>
          <w:sz w:val="28"/>
        </w:rPr>
        <w:t xml:space="preserve">
      выявление способов, используемых нарушителями для проникновения на территории государств Сторон; </w:t>
      </w:r>
      <w:r>
        <w:br/>
      </w:r>
      <w:r>
        <w:rPr>
          <w:rFonts w:ascii="Times New Roman"/>
          <w:b w:val="false"/>
          <w:i w:val="false"/>
          <w:color w:val="000000"/>
          <w:sz w:val="28"/>
        </w:rPr>
        <w:t xml:space="preserve">
      осуществление согласованных мер по выявлению нарушителей, их задержанию, выдаче и привлечению к уголовной ответственности; </w:t>
      </w:r>
      <w:r>
        <w:br/>
      </w:r>
      <w:r>
        <w:rPr>
          <w:rFonts w:ascii="Times New Roman"/>
          <w:b w:val="false"/>
          <w:i w:val="false"/>
          <w:color w:val="000000"/>
          <w:sz w:val="28"/>
        </w:rPr>
        <w:t xml:space="preserve">
      координация и взаимодействие компетентных органов государств Сторон при проведении совместных мероприятий по выявлению и перекрытию каналов проникновения; </w:t>
      </w:r>
      <w:r>
        <w:br/>
      </w:r>
      <w:r>
        <w:rPr>
          <w:rFonts w:ascii="Times New Roman"/>
          <w:b w:val="false"/>
          <w:i w:val="false"/>
          <w:color w:val="000000"/>
          <w:sz w:val="28"/>
        </w:rPr>
        <w:t xml:space="preserve">
      разработка и реализация совместных планов по выявлению и перекрытию каналов проникновения; </w:t>
      </w:r>
      <w:r>
        <w:br/>
      </w:r>
      <w:r>
        <w:rPr>
          <w:rFonts w:ascii="Times New Roman"/>
          <w:b w:val="false"/>
          <w:i w:val="false"/>
          <w:color w:val="000000"/>
          <w:sz w:val="28"/>
        </w:rPr>
        <w:t xml:space="preserve">
      гармонизация национальных законодательств Сторон по вопросам выявления и перекрытия каналов проникновения; </w:t>
      </w:r>
      <w:r>
        <w:br/>
      </w:r>
      <w:r>
        <w:rPr>
          <w:rFonts w:ascii="Times New Roman"/>
          <w:b w:val="false"/>
          <w:i w:val="false"/>
          <w:color w:val="000000"/>
          <w:sz w:val="28"/>
        </w:rPr>
        <w:t xml:space="preserve">
      подготовка, переподготовка и повышение квалификации специалистов по вопросам выявления и перекрытия каналов проникновения; </w:t>
      </w:r>
      <w:r>
        <w:br/>
      </w:r>
      <w:r>
        <w:rPr>
          <w:rFonts w:ascii="Times New Roman"/>
          <w:b w:val="false"/>
          <w:i w:val="false"/>
          <w:color w:val="000000"/>
          <w:sz w:val="28"/>
        </w:rPr>
        <w:t xml:space="preserve">
      проведение совместных научных исследований по проблемам выявления и перекрытия каналов проникновения; </w:t>
      </w:r>
      <w:r>
        <w:br/>
      </w:r>
      <w:r>
        <w:rPr>
          <w:rFonts w:ascii="Times New Roman"/>
          <w:b w:val="false"/>
          <w:i w:val="false"/>
          <w:color w:val="000000"/>
          <w:sz w:val="28"/>
        </w:rPr>
        <w:t xml:space="preserve">
      согласование позиций для участия в международных организациях и международных форумах по вопросам выявления и перекрытия каналов проникновения.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Стороны сотрудничают по основным направлениям, перечисленным в статье 3 настоящего Соглашения, в следующих формах: </w:t>
      </w:r>
      <w:r>
        <w:br/>
      </w:r>
      <w:r>
        <w:rPr>
          <w:rFonts w:ascii="Times New Roman"/>
          <w:b w:val="false"/>
          <w:i w:val="false"/>
          <w:color w:val="000000"/>
          <w:sz w:val="28"/>
        </w:rPr>
        <w:t xml:space="preserve">
      выполнение запросов об оказании содействия (далее - запрос): </w:t>
      </w:r>
      <w:r>
        <w:br/>
      </w:r>
      <w:r>
        <w:rPr>
          <w:rFonts w:ascii="Times New Roman"/>
          <w:b w:val="false"/>
          <w:i w:val="false"/>
          <w:color w:val="000000"/>
          <w:sz w:val="28"/>
        </w:rPr>
        <w:t xml:space="preserve">
      в проведении согласованных оперативно-розыскных мероприятий по выявлению и перекрытию каналов проникновения; </w:t>
      </w:r>
      <w:r>
        <w:br/>
      </w:r>
      <w:r>
        <w:rPr>
          <w:rFonts w:ascii="Times New Roman"/>
          <w:b w:val="false"/>
          <w:i w:val="false"/>
          <w:color w:val="000000"/>
          <w:sz w:val="28"/>
        </w:rPr>
        <w:t xml:space="preserve">
      в розыске и задержании нарушителей; </w:t>
      </w:r>
      <w:r>
        <w:br/>
      </w:r>
      <w:r>
        <w:rPr>
          <w:rFonts w:ascii="Times New Roman"/>
          <w:b w:val="false"/>
          <w:i w:val="false"/>
          <w:color w:val="000000"/>
          <w:sz w:val="28"/>
        </w:rPr>
        <w:t xml:space="preserve">
      в проведении иных мероприятий, представляющих взаимный интерес, обмен информацией; </w:t>
      </w:r>
      <w:r>
        <w:br/>
      </w:r>
      <w:r>
        <w:rPr>
          <w:rFonts w:ascii="Times New Roman"/>
          <w:b w:val="false"/>
          <w:i w:val="false"/>
          <w:color w:val="000000"/>
          <w:sz w:val="28"/>
        </w:rPr>
        <w:t xml:space="preserve">
      об использовании каналов проникновения для совершения актов терроризма, сепаратизма и экстремизма на территориях государств Сторон; </w:t>
      </w:r>
      <w:r>
        <w:br/>
      </w:r>
      <w:r>
        <w:rPr>
          <w:rFonts w:ascii="Times New Roman"/>
          <w:b w:val="false"/>
          <w:i w:val="false"/>
          <w:color w:val="000000"/>
          <w:sz w:val="28"/>
        </w:rPr>
        <w:t xml:space="preserve">
      о способах, используемых нарушителями для проникновения на территории государств Сторон; </w:t>
      </w:r>
      <w:r>
        <w:br/>
      </w:r>
      <w:r>
        <w:rPr>
          <w:rFonts w:ascii="Times New Roman"/>
          <w:b w:val="false"/>
          <w:i w:val="false"/>
          <w:color w:val="000000"/>
          <w:sz w:val="28"/>
        </w:rPr>
        <w:t xml:space="preserve">
      о лицах и организациях, подозреваемых в причастности к использованию каналов проникновения; </w:t>
      </w:r>
      <w:r>
        <w:br/>
      </w:r>
      <w:r>
        <w:rPr>
          <w:rFonts w:ascii="Times New Roman"/>
          <w:b w:val="false"/>
          <w:i w:val="false"/>
          <w:color w:val="000000"/>
          <w:sz w:val="28"/>
        </w:rPr>
        <w:t xml:space="preserve">
      о конкретных фактах и событиях, связанных с использованием нарушителями каналов проникновения на территории государств Сторон; </w:t>
      </w:r>
      <w:r>
        <w:br/>
      </w:r>
      <w:r>
        <w:rPr>
          <w:rFonts w:ascii="Times New Roman"/>
          <w:b w:val="false"/>
          <w:i w:val="false"/>
          <w:color w:val="000000"/>
          <w:sz w:val="28"/>
        </w:rPr>
        <w:t xml:space="preserve">
      о структуре, персональном составе, сферах деятельности, организации управления и связях организаций, использующих каналы проникновения; </w:t>
      </w:r>
      <w:r>
        <w:br/>
      </w:r>
      <w:r>
        <w:rPr>
          <w:rFonts w:ascii="Times New Roman"/>
          <w:b w:val="false"/>
          <w:i w:val="false"/>
          <w:color w:val="000000"/>
          <w:sz w:val="28"/>
        </w:rPr>
        <w:t xml:space="preserve">
      об имевших место или предполагаемых контактах между отдельными лицами и преступными группами, использующими каналы проникновения; </w:t>
      </w:r>
      <w:r>
        <w:br/>
      </w:r>
      <w:r>
        <w:rPr>
          <w:rFonts w:ascii="Times New Roman"/>
          <w:b w:val="false"/>
          <w:i w:val="false"/>
          <w:color w:val="000000"/>
          <w:sz w:val="28"/>
        </w:rPr>
        <w:t xml:space="preserve">
      о формах и методах деятельности организаций и отдельных лиц по использованию каналов проникновения; </w:t>
      </w:r>
      <w:r>
        <w:br/>
      </w:r>
      <w:r>
        <w:rPr>
          <w:rFonts w:ascii="Times New Roman"/>
          <w:b w:val="false"/>
          <w:i w:val="false"/>
          <w:color w:val="000000"/>
          <w:sz w:val="28"/>
        </w:rPr>
        <w:t xml:space="preserve">
      о каналах проникновения, используемых нарушителями; </w:t>
      </w:r>
      <w:r>
        <w:br/>
      </w:r>
      <w:r>
        <w:rPr>
          <w:rFonts w:ascii="Times New Roman"/>
          <w:b w:val="false"/>
          <w:i w:val="false"/>
          <w:color w:val="000000"/>
          <w:sz w:val="28"/>
        </w:rPr>
        <w:t xml:space="preserve">
      об источниках финансирования каналов проникновения; </w:t>
      </w:r>
      <w:r>
        <w:br/>
      </w:r>
      <w:r>
        <w:rPr>
          <w:rFonts w:ascii="Times New Roman"/>
          <w:b w:val="false"/>
          <w:i w:val="false"/>
          <w:color w:val="000000"/>
          <w:sz w:val="28"/>
        </w:rPr>
        <w:t xml:space="preserve">
      о формах и методах выявления и перекрытия каналов проникновения; </w:t>
      </w:r>
      <w:r>
        <w:br/>
      </w:r>
      <w:r>
        <w:rPr>
          <w:rFonts w:ascii="Times New Roman"/>
          <w:b w:val="false"/>
          <w:i w:val="false"/>
          <w:color w:val="000000"/>
          <w:sz w:val="28"/>
        </w:rPr>
        <w:t xml:space="preserve">
      направление в банк данных Региональной антитеррористической структуры Шанхайской организации сотрудничества (далее - РАТС ШОС) информации по вопросам выявления и перекрытия каналов проникновения; </w:t>
      </w:r>
      <w:r>
        <w:br/>
      </w:r>
      <w:r>
        <w:rPr>
          <w:rFonts w:ascii="Times New Roman"/>
          <w:b w:val="false"/>
          <w:i w:val="false"/>
          <w:color w:val="000000"/>
          <w:sz w:val="28"/>
        </w:rPr>
        <w:t xml:space="preserve">
      обмен образцами документов, дающих право на пересечение границ государств Сторон, и представление информации об изменении форм и требований к документам для въезда, пребывания и выезда с территорий государств Сторон; </w:t>
      </w:r>
      <w:r>
        <w:br/>
      </w:r>
      <w:r>
        <w:rPr>
          <w:rFonts w:ascii="Times New Roman"/>
          <w:b w:val="false"/>
          <w:i w:val="false"/>
          <w:color w:val="000000"/>
          <w:sz w:val="28"/>
        </w:rPr>
        <w:t xml:space="preserve">
      обмен опытом работы, в том числе путем проведения совещаний, конференций и семинаров; </w:t>
      </w:r>
      <w:r>
        <w:br/>
      </w:r>
      <w:r>
        <w:rPr>
          <w:rFonts w:ascii="Times New Roman"/>
          <w:b w:val="false"/>
          <w:i w:val="false"/>
          <w:color w:val="000000"/>
          <w:sz w:val="28"/>
        </w:rPr>
        <w:t xml:space="preserve">
      обмен законодательными и иными нормативными правовыми актами, материалами по вопросам выявления и перекрытия каналов проникновения. </w:t>
      </w:r>
      <w:r>
        <w:br/>
      </w:r>
      <w:r>
        <w:rPr>
          <w:rFonts w:ascii="Times New Roman"/>
          <w:b w:val="false"/>
          <w:i w:val="false"/>
          <w:color w:val="000000"/>
          <w:sz w:val="28"/>
        </w:rPr>
        <w:t xml:space="preserve">
      Стороны могут определять иные взаимоприемлемые формы сотрудничества.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в течение 30 дней после выполнения внутригосударственных процедур, необходимых для вступления в силу настоящего Соглашения, уведомляют депозитарий в письменной форме о компетентных органах, ответственных за реализацию настоящего Соглашения.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Взаимодействие между компетентными органами Сторон в рамках настоящего Соглашения осуществляется в двустороннем и многостороннем форматах на основании запроса об оказании содействия, а также путем информирования по инициативе компетентного органа одной из Сторон. </w:t>
      </w:r>
      <w:r>
        <w:br/>
      </w:r>
      <w:r>
        <w:rPr>
          <w:rFonts w:ascii="Times New Roman"/>
          <w:b w:val="false"/>
          <w:i w:val="false"/>
          <w:color w:val="000000"/>
          <w:sz w:val="28"/>
        </w:rPr>
        <w:t xml:space="preserve">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продублированы письменно, при необходимости с использованием технических средств передачи текста. </w:t>
      </w:r>
      <w:r>
        <w:br/>
      </w:r>
      <w:r>
        <w:rPr>
          <w:rFonts w:ascii="Times New Roman"/>
          <w:b w:val="false"/>
          <w:i w:val="false"/>
          <w:color w:val="000000"/>
          <w:sz w:val="28"/>
        </w:rPr>
        <w:t xml:space="preserve">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r>
        <w:br/>
      </w:r>
      <w:r>
        <w:rPr>
          <w:rFonts w:ascii="Times New Roman"/>
          <w:b w:val="false"/>
          <w:i w:val="false"/>
          <w:color w:val="000000"/>
          <w:sz w:val="28"/>
        </w:rPr>
        <w:t xml:space="preserve">
      Запрос должен содержать: </w:t>
      </w:r>
      <w:r>
        <w:br/>
      </w:r>
      <w:r>
        <w:rPr>
          <w:rFonts w:ascii="Times New Roman"/>
          <w:b w:val="false"/>
          <w:i w:val="false"/>
          <w:color w:val="000000"/>
          <w:sz w:val="28"/>
        </w:rPr>
        <w:t xml:space="preserve">
      наименование запрашивающего и запрашиваемого компетентных органов; </w:t>
      </w:r>
      <w:r>
        <w:br/>
      </w:r>
      <w:r>
        <w:rPr>
          <w:rFonts w:ascii="Times New Roman"/>
          <w:b w:val="false"/>
          <w:i w:val="false"/>
          <w:color w:val="000000"/>
          <w:sz w:val="28"/>
        </w:rPr>
        <w:t xml:space="preserve">
      цели и обоснования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указание степени его закрытости, если это необходимо. </w:t>
      </w:r>
      <w:r>
        <w:br/>
      </w:r>
      <w:r>
        <w:rPr>
          <w:rFonts w:ascii="Times New Roman"/>
          <w:b w:val="false"/>
          <w:i w:val="false"/>
          <w:color w:val="000000"/>
          <w:sz w:val="28"/>
        </w:rPr>
        <w:t xml:space="preserve">
      Запрос или информация, переданные в письменной форме, подписываются руководителем направляющего компетентного органа или его заместителями или удостоверяются гербовой печатью этого компетентного органа.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Запрашиваемый компетентный орган принимает все необходимые меры для обеспечения быстрого и возможно более полного исполнения запроса и в срок, не превышающий 30 суток со дня его поступления, информирует запрашивающий компетентный орган о результатах его рассмотрения. </w:t>
      </w:r>
      <w:r>
        <w:br/>
      </w:r>
      <w:r>
        <w:rPr>
          <w:rFonts w:ascii="Times New Roman"/>
          <w:b w:val="false"/>
          <w:i w:val="false"/>
          <w:color w:val="000000"/>
          <w:sz w:val="28"/>
        </w:rPr>
        <w:t xml:space="preserve">
      Запрашивающий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xml:space="preserve">
      Если исполнение запроса не входит в компетенцию запрашиваемого компетентного органа, то он передает запрос другому компетентному органу своего государства, компетентному его исполнить, и незамедлительно уведомляет об этом запрашивающий компетентный орган. </w:t>
      </w:r>
      <w:r>
        <w:br/>
      </w:r>
      <w:r>
        <w:rPr>
          <w:rFonts w:ascii="Times New Roman"/>
          <w:b w:val="false"/>
          <w:i w:val="false"/>
          <w:color w:val="000000"/>
          <w:sz w:val="28"/>
        </w:rPr>
        <w:t xml:space="preserve">
      Запрашиваемый компетентный орган может запросить дополнительные сведения, необходимые, по его мнению, для исполнения запроса. </w:t>
      </w:r>
      <w:r>
        <w:br/>
      </w:r>
      <w:r>
        <w:rPr>
          <w:rFonts w:ascii="Times New Roman"/>
          <w:b w:val="false"/>
          <w:i w:val="false"/>
          <w:color w:val="000000"/>
          <w:sz w:val="28"/>
        </w:rPr>
        <w:t xml:space="preserve">
      При исполнении запроса применяется законодательство государства запрашиваемой Стороны. По просьбе запрашивающего компетентного органа может быть применено законодательство государства запрашивающей Стороны, если это не противоречит основным принципам законодательства или международным обязательствам государства запрашиваемой Стороны. </w:t>
      </w:r>
      <w:r>
        <w:br/>
      </w:r>
      <w:r>
        <w:rPr>
          <w:rFonts w:ascii="Times New Roman"/>
          <w:b w:val="false"/>
          <w:i w:val="false"/>
          <w:color w:val="000000"/>
          <w:sz w:val="28"/>
        </w:rPr>
        <w:t xml:space="preserve">
      Запрашиваемый компетентный орган может разрешить представителям запрашивающего компетентного органа присутствовать при исполнении запроса на территории своего государства, если это не противоречит законодательству государства его Стороны. </w:t>
      </w:r>
      <w:r>
        <w:br/>
      </w:r>
      <w:r>
        <w:rPr>
          <w:rFonts w:ascii="Times New Roman"/>
          <w:b w:val="false"/>
          <w:i w:val="false"/>
          <w:color w:val="000000"/>
          <w:sz w:val="28"/>
        </w:rPr>
        <w:t xml:space="preserve">
      Исполнение запроса может быть отложено или в его исполнении может быть отказано полностью или частично, если запрашиваемый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xml:space="preserve">
      В исполнении запроса может быть отказано, если деяние, в связи с которым он поступил, не является преступлением по законодательству государства запрашиваемой Стороны. </w:t>
      </w:r>
      <w:r>
        <w:br/>
      </w:r>
      <w:r>
        <w:rPr>
          <w:rFonts w:ascii="Times New Roman"/>
          <w:b w:val="false"/>
          <w:i w:val="false"/>
          <w:color w:val="000000"/>
          <w:sz w:val="28"/>
        </w:rPr>
        <w:t xml:space="preserve">
      Если в соответствии с абзацами 7 или 8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Каждая Сторона обеспечивает конфиденциальность полученной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чем те, в которых они запрашивались или были предоставлены. </w:t>
      </w:r>
      <w:r>
        <w:br/>
      </w:r>
      <w:r>
        <w:rPr>
          <w:rFonts w:ascii="Times New Roman"/>
          <w:b w:val="false"/>
          <w:i w:val="false"/>
          <w:color w:val="000000"/>
          <w:sz w:val="28"/>
        </w:rPr>
        <w:t xml:space="preserve">
      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передаче не подлежат.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Стороны самостоятельно несут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В целях анализа и оценки результатов сотрудничества в рамках настоящего Соглашения, а также выработки путей его совершенствования Стороны могут проводить консультации и совещания.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Стороны используют в качестве рабочих русский и китайский языки.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В настоящее Соглашение могут с согласия Сторон вноситься изменения, оформляемые в виде протоколов, которые являются неотъемлемыми частями настоящего Соглашения и вступают в силу в порядке, установленном статьей 15 настоящего Соглашения.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вступает в силу на 30 день со дня получения депозитарием четвертого уведомления в письменной форме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Депозитарием настоящего Соглашения является Секретариат Шанхайской организации сотрудничества, который в течение 15 дней со дня подписания настоящего Соглашения направляет Сторонам его заверенные копии. </w:t>
      </w:r>
      <w:r>
        <w:br/>
      </w:r>
      <w:r>
        <w:rPr>
          <w:rFonts w:ascii="Times New Roman"/>
          <w:b w:val="false"/>
          <w:i w:val="false"/>
          <w:color w:val="000000"/>
          <w:sz w:val="28"/>
        </w:rPr>
        <w:t xml:space="preserve">
      Депозитарий в течение 15 дней со дня получения уведомления от Стороны о ее компетентных органах, ответственных за реализацию настоящего Соглашения, сообщает об этом другим Сторонам. </w:t>
      </w:r>
      <w:r>
        <w:br/>
      </w:r>
      <w:r>
        <w:rPr>
          <w:rFonts w:ascii="Times New Roman"/>
          <w:b w:val="false"/>
          <w:i w:val="false"/>
          <w:color w:val="000000"/>
          <w:sz w:val="28"/>
        </w:rPr>
        <w:t>
      Настоящее Соглашение открыто для присоединения государств, являющихся участниками Шанхайской  </w:t>
      </w:r>
      <w:r>
        <w:rPr>
          <w:rFonts w:ascii="Times New Roman"/>
          <w:b w:val="false"/>
          <w:i w:val="false"/>
          <w:color w:val="000000"/>
          <w:sz w:val="28"/>
        </w:rPr>
        <w:t xml:space="preserve">конвенции </w:t>
      </w:r>
      <w:r>
        <w:rPr>
          <w:rFonts w:ascii="Times New Roman"/>
          <w:b w:val="false"/>
          <w:i w:val="false"/>
          <w:color w:val="000000"/>
          <w:sz w:val="28"/>
        </w:rPr>
        <w:t xml:space="preserve"> о борьбе с терроризмом, сепаратизмом и экстремизмом от 15 июня 2001 года. Для присоединившегося государства настоящее Соглашение вступает в силу на 30 день со дня получения депозитарием документа о его присоединении. </w:t>
      </w:r>
      <w:r>
        <w:br/>
      </w:r>
      <w:r>
        <w:rPr>
          <w:rFonts w:ascii="Times New Roman"/>
          <w:b w:val="false"/>
          <w:i w:val="false"/>
          <w:color w:val="000000"/>
          <w:sz w:val="28"/>
        </w:rPr>
        <w:t xml:space="preserve">
      Настоящее Соглашение остается в силе в отношении любой из Сторон, пока она является государством-членом Шанхайской организации сотрудничества. </w:t>
      </w:r>
    </w:p>
    <w:p>
      <w:pPr>
        <w:spacing w:after="0"/>
        <w:ind w:left="0"/>
        <w:jc w:val="both"/>
      </w:pPr>
      <w:r>
        <w:rPr>
          <w:rFonts w:ascii="Times New Roman"/>
          <w:b w:val="false"/>
          <w:i w:val="false"/>
          <w:color w:val="000000"/>
          <w:sz w:val="28"/>
        </w:rPr>
        <w:t xml:space="preserve">      Совершено в городе _________ "__"__________ 200_ года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Республики Казахстан </w:t>
      </w:r>
    </w:p>
    <w:p>
      <w:pPr>
        <w:spacing w:after="0"/>
        <w:ind w:left="0"/>
        <w:jc w:val="both"/>
      </w:pPr>
      <w:r>
        <w:rPr>
          <w:rFonts w:ascii="Times New Roman"/>
          <w:b w:val="false"/>
          <w:i/>
          <w:color w:val="000000"/>
          <w:sz w:val="28"/>
        </w:rPr>
        <w:t xml:space="preserve">      За Правительство Китайской Народной Республики </w:t>
      </w:r>
    </w:p>
    <w:p>
      <w:pPr>
        <w:spacing w:after="0"/>
        <w:ind w:left="0"/>
        <w:jc w:val="both"/>
      </w:pPr>
      <w:r>
        <w:rPr>
          <w:rFonts w:ascii="Times New Roman"/>
          <w:b w:val="false"/>
          <w:i/>
          <w:color w:val="000000"/>
          <w:sz w:val="28"/>
        </w:rPr>
        <w:t xml:space="preserve">      За Правительство Кыргызской Республики </w:t>
      </w:r>
    </w:p>
    <w:p>
      <w:pPr>
        <w:spacing w:after="0"/>
        <w:ind w:left="0"/>
        <w:jc w:val="both"/>
      </w:pPr>
      <w:r>
        <w:rPr>
          <w:rFonts w:ascii="Times New Roman"/>
          <w:b w:val="false"/>
          <w:i/>
          <w:color w:val="000000"/>
          <w:sz w:val="28"/>
        </w:rPr>
        <w:t xml:space="preserve">      За Правительство Российской Федерации </w:t>
      </w:r>
    </w:p>
    <w:p>
      <w:pPr>
        <w:spacing w:after="0"/>
        <w:ind w:left="0"/>
        <w:jc w:val="both"/>
      </w:pPr>
      <w:r>
        <w:rPr>
          <w:rFonts w:ascii="Times New Roman"/>
          <w:b w:val="false"/>
          <w:i/>
          <w:color w:val="000000"/>
          <w:sz w:val="28"/>
        </w:rPr>
        <w:t xml:space="preserve">      За Правительство Республики Таджикистан </w:t>
      </w:r>
    </w:p>
    <w:p>
      <w:pPr>
        <w:spacing w:after="0"/>
        <w:ind w:left="0"/>
        <w:jc w:val="both"/>
      </w:pPr>
      <w:r>
        <w:rPr>
          <w:rFonts w:ascii="Times New Roman"/>
          <w:b w:val="false"/>
          <w:i/>
          <w:color w:val="000000"/>
          <w:sz w:val="28"/>
        </w:rPr>
        <w:t xml:space="preserve">      За Правительство Республики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