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8e6a" w14:textId="d608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рыночной цены реализуемых сырой нефти, газового конденсата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N 864.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см. п. 2 настоящего постановления (дата введения в действие)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278-3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рыночной цены реализуемых сырой нефти, газового конденсата.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2005 года для юридических лиц и по истечении десяти календарных дней после его первого официального опубликования для физических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2005 года N 864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 рыночной цены реализуемых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сырой нефти, газового конденсата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278-3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и предусматривают порядок определения рыночной цены сырой нефти, газового конденсата, реализуемых на экспорт налогоплательщиками, за исключением недропользователей, заключивших контракты о разделе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Рыночная цена реализуемых сырой нефти, газового конденсата определяется как среднеарифметическое значение ежедневных котировок Юралс Средиземноморье (Urals Med) и Датированный Брент (Brent Dtd) в налоговом периоде в соответствии с информацией, публикуемой в источнике Platts Crude Oil Marketwire компании Mcgraw-Нill Companies Ink.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Ежедневная среднеарифметическая рыночная цена реализуемых сырой нефти, газового конденсата определяется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Р=(С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+С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)/2;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ежедневная среднеарифметическая рыночная цена реализуемых сырой нефти, газового конденсата;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ежедневная среднеарифметическая рыночная цена реализуемых сырой нефти, газового конденсата на момент открытия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ежедневная среднеарифметическая рыночная цена реализуемых сырой нефти, газового конденсата на момент закрытия биржи.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определяется по следующим формулам: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=(С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ю.с.1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+С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д.б.1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)/2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=(С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ю.с.2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+С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д.б.2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)/2;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ю.с.1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котировка Юралс Средиземноморье на момент открытия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ю.с.2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котировка Юралс Средиземноморье на момент закрытия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д.б.1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котировка Датированный Брент на момент открытия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д.б.2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котировка Датированный Брент на момент закрытия биржи.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Рыночная цена реализуемых сырой нефти, газового конденсата за налоговый период определяется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S=(P+P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+...+Р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)/n;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рыночная цена реализуемых сырой нефти, газового конденсата за налоговый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ежедневная среднеарифметическая рыночная цена реализуемых сырой нефти, газового конденсата в дни публикации таких котировок в течение налогового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дней публикации таких котировок в течение налогового периода.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