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3eb20" w14:textId="553eb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эксплуатации судоходных водных путей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мая 2005 года N 527. Утратило силу постановлением Правительства Республики Казахстан от 31 октября 2015 года № 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сельского хозяйства Республики Казахстан от 2 июня 2015 года № 19-2/510.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Водным 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9 июля 2003 года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6 июля 2004 года "О внутреннем водном транспорте"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эксплуатации судоходных водных путей.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со дня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мая 2005 года N№527     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эксплуатации судоходных водных путей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1. Настоящие Правила эксплуатации судоходных водных путей (далее - Правила) разработаны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>Водным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июля 2004 года "О внутреннем водном транспорте" и определяют порядок эксплуатации судоходных водных путей Республики Казахстан.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настоящих Правил распространяется на водные пути, открытые для судоходства согласно  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судоходных водных путей, открытых для судоходства, утверждаемому Правительством Республики Казахстан.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Судоходные водные пути предназначены для перевозки пассажиров, багажа, грузов и почтовых отправлений, буксировки судов, плотов и иных плавучих объектов, проведения поисков, разведки и добычи полезных ископаемых, рыбных и иных промыслов, строительных, путевых, гидротехнических, подводно-технических и других подобных работ, лоцманской проводки судов, спасательных операций, осуществления мероприятий по охране водных объектов, защите их от загрязнения и засорения, подъема затонувшего имущества, санитарного и другого контроля, проведения научных исследований, учебных, спортивных, культурных и иных целей.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понятия, предусмотренные 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июля 2004 года "О внутреннем водном транспорте" и следующие понятия: </w:t>
      </w:r>
    </w:p>
    <w:bookmarkEnd w:id="7"/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земснаряд - судно, предназначенное для проведения дноуглубительных работ в целях обеспечения безопасного плавания судов и иных плавучих объектов; </w:t>
      </w:r>
    </w:p>
    <w:bookmarkEnd w:id="8"/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лимитирующий перекат - участок судового хода с определенными ограничениями по габаритам и осадке для судов и составов, требующий проведения путевых работ; 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навигационное ограждение - средства навигационного оборудования, выставляемые на судоходных водных путях для указания их сложности, габаритов судового хода, наличия подводных препятствий и обеспечивающие безопасность судоходства; </w:t>
      </w:r>
    </w:p>
    <w:bookmarkEnd w:id="10"/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русловой партии - план изыскательских работ, который включает в себя гидрографические, геодезические, геологические, дноуглубительные, научно-изыскательские и другие работы на определенный период, утверждаемый предприятиями уполномоченного органа (далее - предприятия); </w:t>
      </w:r>
    </w:p>
    <w:bookmarkEnd w:id="11"/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промерные работы - измерение глубины судового хода; </w:t>
      </w:r>
    </w:p>
    <w:bookmarkEnd w:id="12"/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тральные работы - работы по очистке или проверке заданных габаритов судоходных водных путей при помощи трала. </w:t>
      </w:r>
    </w:p>
    <w:bookmarkEnd w:id="13"/>
    <w:bookmarkStart w:name="z1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Содержание судоходных водных путей </w:t>
      </w:r>
    </w:p>
    <w:bookmarkEnd w:id="14"/>
    <w:bookmarkStart w:name="z1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судоходных водных путей осуществляется в целях обеспечения безопасного движения судов и их составов.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Содержание судоходных водных путей не требуется при условиях: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оба берега судоходного водного пути являются ходовыми и движение судов возможно по всей ширине русла (в этом случае навигационные знаки могут не выставляться); 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если по всей протяженности судоходного водного пути отсутствуют лимитирующие перекаты и не имеется ограничений по габаритам и осадке для судов и составов.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Раздел 2 дополнен пунктом 5-1 постановлением Правительства РК от 29 декабря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1318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8"/>
    <w:bookmarkStart w:name="z1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Проведение путевых работ, в том числе работ по устройству и содержанию рейдов в портах, находящихся в государственной собственности, и подходов к причалам этих портов, а также содержание судоходных гидротехнических сооружений осуществляются предприятиями. </w:t>
      </w:r>
    </w:p>
    <w:bookmarkEnd w:id="19"/>
    <w:bookmarkStart w:name="z1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Проведение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путевых работ на подходах к портам (не указанным в пункте 7 настоящих Правил), а также в пунктах отстоя осуществляется их владельцами по согласованию с уполномоченным органом. </w:t>
      </w:r>
    </w:p>
    <w:bookmarkEnd w:id="20"/>
    <w:bookmarkStart w:name="z1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Работы по содержанию внутренних водных путей и судоходных </w:t>
      </w:r>
      <w:r>
        <w:rPr>
          <w:rFonts w:ascii="Times New Roman"/>
          <w:b w:val="false"/>
          <w:i w:val="false"/>
          <w:color w:val="000000"/>
          <w:sz w:val="28"/>
        </w:rPr>
        <w:t>гидротехнических сооружений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них осуществляются без специальных разрешений на проведение путевых работ. </w:t>
      </w:r>
    </w:p>
    <w:bookmarkEnd w:id="21"/>
    <w:bookmarkStart w:name="z1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Разработка лимитирующих перекатов земснарядами производится только по планам русловых партий, не допуская просадки русла реки. </w:t>
      </w:r>
    </w:p>
    <w:bookmarkEnd w:id="22"/>
    <w:bookmarkStart w:name="z1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Надзор за состоянием внутренних водных путей осуществляется территориальными подразделениями уполномоченного органа (далее - территориальные подразделения) путем регулярных осмотров судоходных водных путей, не менее двух раз в навигацию. </w:t>
      </w:r>
    </w:p>
    <w:bookmarkEnd w:id="23"/>
    <w:bookmarkStart w:name="z1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Габариты судоходных водных путей </w:t>
      </w:r>
    </w:p>
    <w:bookmarkEnd w:id="24"/>
    <w:bookmarkStart w:name="z1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судоходных водных путях предприятиями обеспечиваются гарантированные габариты судового хода (глубина, ширина, радиус закругления его оси).</w:t>
      </w:r>
    </w:p>
    <w:bookmarkEnd w:id="25"/>
    <w:bookmarkStart w:name="z1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Габариты судов (длина, ширина, надводный габарит, осадка) и их скорость должны соответствовать техническим данным водного пути и судоходных шлюзов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26"/>
    <w:bookmarkStart w:name="z2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Навигационное ограждение судоходных водных путей </w:t>
      </w:r>
    </w:p>
    <w:bookmarkEnd w:id="27"/>
    <w:bookmarkStart w:name="z2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13. Навигационное ограждение судоходных водных путей предназначено для создания безопасных условий плавания судов и обеспечения сохранности искусственных сооружений на внутренних водных путях.</w:t>
      </w:r>
    </w:p>
    <w:bookmarkEnd w:id="28"/>
    <w:bookmarkStart w:name="z2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Содержание навигационного ограждения судоходных водных путей выполняется предприятиями и заключается в проведении работ по выставлению и обслуживанию средств навигационного оборудования. Предприятия извещают судоводителей о состоянии и изменении путевых условий. </w:t>
      </w:r>
    </w:p>
    <w:bookmarkEnd w:id="29"/>
    <w:bookmarkStart w:name="z2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Устройство и содержание знаков (стационарных и плавучих) и огней судоходной сигнализации на железнодорожных, автодорожных, коммунальных и наплавных мостах, подводных и воздушных переходах, водозаборах и водовыпусках, предназначенных для их сохранности и создания безопасных условий плавания судов, производятся владельцами этих сооружений. </w:t>
      </w:r>
    </w:p>
    <w:bookmarkEnd w:id="30"/>
    <w:bookmarkStart w:name="z2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Устройство и содержание навигационного ограждения на водных подходах и акваториях портов, причалов, затонов, рейдов и других участков водных путей обособленного пользования производятся владельцами этих искусственных сооружений и организациями, в пользовании которых находятся эти акватории и участки водных путей по согласованию с уполномоченным органом. </w:t>
      </w:r>
    </w:p>
    <w:bookmarkEnd w:id="31"/>
    <w:bookmarkStart w:name="z2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Навигационные огни на береговых и плавучих знаках должны действовать при горизонтальной освещенности, составляющей не менее 40-100 люкс, что соответствует середине гражданских сумерек (при положении солнца на 3 градуса ниже горизонта).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Навигационные огни на сооружениях должны действовать в период ограниченной видимости. </w:t>
      </w:r>
    </w:p>
    <w:bookmarkEnd w:id="32"/>
    <w:bookmarkStart w:name="z2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Не допускаются пользование сигнальными знаками водного пути для ошвартовки или вывода судов или плавучих средств, а также повреждение этих знаков. </w:t>
      </w:r>
    </w:p>
    <w:bookmarkEnd w:id="33"/>
    <w:bookmarkStart w:name="z2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Каждый судоводитель извещает соответствующее предприятие о всех неисправностях, замеченных на сигнальных знаках пути (потухший огонь, перемещение бакена, буя, повреждение знака). </w:t>
      </w:r>
    </w:p>
    <w:bookmarkEnd w:id="34"/>
    <w:bookmarkStart w:name="z2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Предприятия составляют акты на все случаи повреждения ограждения внутренних водных путей, порчи перекатов вследствие несоответствия габаритов составов и объявленных габаритов пути и направляют их в территориальные подразделения, которые принимают необходимые меры по их устранению.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эксплуатации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судоходных водных путей     </w:t>
      </w:r>
    </w:p>
    <w:bookmarkStart w:name="z2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Соотношение габаритов судов и водного пути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 Минимальные запасы воды (в сантиметрах),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под днищем на судоходных водных путях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3"/>
        <w:gridCol w:w="4193"/>
        <w:gridCol w:w="4173"/>
      </w:tblGrid>
      <w:tr>
        <w:trPr>
          <w:trHeight w:val="30" w:hRule="atLeast"/>
        </w:trPr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всех судов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песчаном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галечном грунте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каменистом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грунте 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150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150-300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300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Значение запасов показывает разницу между объявленной глубиной на лимитирующем перекате и наибольшей осадкой судна.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прохождении лимитирующих по глубине перекатов судоводителями учитываются явления просадки и принимаются меры для ее уменьшения путем снижения скорости судна или привлечения вспомогательного буксировщика, при недостаточности этих мер - путем соответствующего уменьшения осадки (загрузки). </w:t>
      </w:r>
    </w:p>
    <w:bookmarkEnd w:id="38"/>
    <w:bookmarkStart w:name="z3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Запасы воды (в сантиметрах) под днищем в судоходных шлюзах 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3"/>
        <w:gridCol w:w="5793"/>
      </w:tblGrid>
      <w:tr>
        <w:trPr>
          <w:trHeight w:val="30" w:hRule="atLeast"/>
        </w:trPr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Глубина заложения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порога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 воды на пороге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судоходном шлюзе каменном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бетонном </w:t>
            </w:r>
          </w:p>
        </w:tc>
      </w:tr>
      <w:tr>
        <w:trPr>
          <w:trHeight w:val="30" w:hRule="atLeast"/>
        </w:trPr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100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100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250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250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</w:tbl>
    <w:bookmarkStart w:name="z3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Запасы по ширине и длине судоходного шлюза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 судоходном шлюзе шириной до 10 метров запас между бортом судна (по наибольшей ширине) и стенкой судоходного шлюза должен быть 0,2 метра со стороны каждого борта в судоходном шлюзе шириной до 18 метров - соответственно 0,4 метра, свыше 18 метров - 0,5 метра.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Длина одиночного судна (состава судов) при прохождении судоходного шлюза должна быть меньше полезной длины его камеры: в судоходном шлюзе длиной до 50 метров - на 1 метр, длиной от 51 до 100 метров  </w:t>
      </w:r>
      <w:r>
        <w:rPr>
          <w:rFonts w:ascii="Times New Roman"/>
          <w:b w:val="false"/>
          <w:i/>
          <w:color w:val="000000"/>
          <w:sz w:val="28"/>
        </w:rPr>
        <w:t xml:space="preserve">-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   2   метра, от 101 до 150 метров - на 4 метра, от 151 до 210 метра - на 6 метров и в судоходном шлюзе длиной свыше 210 метров - на 10 метров.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