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f9d5" w14:textId="103f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об обмене информацией по контролю за трансфертным ценообразованием между налоговыми и таможенными органами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марта 2005 года N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об обмене информацией по контролю за трансфертным ценообразованием между налоговыми и таможенными органами государств-членов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финансов Республики Казахстан Дунаева Армана Галиаскаровича заключить от имени Правительства Республики Казахстан Протокол об обмене информацией по контролю за трансфертным ценообразованием между налоговыми и таможенными органами государств-членов Евразийского экономического сообщества,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обмене информацией по контролю за трансфертным ценообразованием между налоговыми и таможенными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органами государств-членов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об обмене информацией между налоговыми и таможенными органами государств-членов Евразийского экономического сообщества от 25 января 2002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>о Таможенном союзе и Едином экономическом пространстве от 26 февраля 1999 года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усилении контроля за ввозом и вывозом товаров (работ, услуг), своевременным и полным поступлением налогов, пошлин и иных платежей в государственные бюджеты государств-членов Евразийского экономического сообщества (далее - ЕврАзЭС),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осуществления государственного контроля при применении трансфертных цен на территории государств-членов ЕврАзЭС,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необходимость совершенствования налогового и таможенного контроля по международным сделкам, совершаемым хозяйствующими субъектами государств-членов ЕврАзЭС, а также по сделкам, где территории государств-членов ЕврАзЭС используются как транзитный коридор, обмена информацией между налоговыми и таможенными органами государств-членов ЕврАзЭС,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 этой целью оказывать друг другу содействие,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Протокола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"рыночная (свободная) цена" </w:t>
      </w:r>
      <w:r>
        <w:rPr>
          <w:rFonts w:ascii="Times New Roman"/>
          <w:b w:val="false"/>
          <w:i w:val="false"/>
          <w:color w:val="000000"/>
          <w:sz w:val="28"/>
        </w:rPr>
        <w:t xml:space="preserve">- рыночной (свободной) ценой товара (работ, услуг) признается цена, сложившаяся при взаимодействии спроса и предложения на национальном рынке идентичных (а при их отсутствии - однородных) товаров (работ, услуг) в сопоставимых экономических (коммерческих)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"идентичные товары" </w:t>
      </w:r>
      <w:r>
        <w:rPr>
          <w:rFonts w:ascii="Times New Roman"/>
          <w:b w:val="false"/>
          <w:i w:val="false"/>
          <w:color w:val="000000"/>
          <w:sz w:val="28"/>
        </w:rPr>
        <w:t xml:space="preserve">- товары (работы, услуги), имеющие одинаковые характерные для них основные признаки, в том числе такие признаки, как физические характеристики, качество и репутация на рынке, страна происхождения, производитель. При определении идентичности товаров незначительные различия в их внешнем виде могут не учитываться;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"однородные товары" </w:t>
      </w:r>
      <w:r>
        <w:rPr>
          <w:rFonts w:ascii="Times New Roman"/>
          <w:b w:val="false"/>
          <w:i w:val="false"/>
          <w:color w:val="000000"/>
          <w:sz w:val="28"/>
        </w:rPr>
        <w:t xml:space="preserve">- товары (работы, услуги), которые, не являясь идентичными, имеют сходные характеристики и состоят из схожих компонентов, что позволяет им выполнять те же функции и быть коммерчески взаимозаменяемыми. При определении однородности товаров (работ, услуг) учитываются, в частности, их качество, наличие товарного знака, репутация на рынке, страна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"трансфертная цена" </w:t>
      </w:r>
      <w:r>
        <w:rPr>
          <w:rFonts w:ascii="Times New Roman"/>
          <w:b w:val="false"/>
          <w:i w:val="false"/>
          <w:color w:val="000000"/>
          <w:sz w:val="28"/>
        </w:rPr>
        <w:t xml:space="preserve">- цена на товары (работы, услуги), которая отличается от объективно сформированной рыночной цены при совершении международных сделок;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"компетентные органы"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налоговые и таможенные органы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"контроль за трансфертным ценообразованием" </w:t>
      </w:r>
      <w:r>
        <w:rPr>
          <w:rFonts w:ascii="Times New Roman"/>
          <w:b w:val="false"/>
          <w:i w:val="false"/>
          <w:color w:val="000000"/>
          <w:sz w:val="28"/>
        </w:rPr>
        <w:t xml:space="preserve">- государственный контроль, осуществляемый компетентными органами для установления факта применения трансфертных цен на товары (работы, услуги) при международных сделках с целью дальнейшей корректировки налоговой базы в соответствии с национальным законодательством.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Таможенные органы государств-членов ЕврАзЭС в рамках своей компетенции предоставляют налоговым органам своих государств необходимую информацию по товарам, которые: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ввозятся на территорию государства и остаются постоянно на этой территории без обязательства об их вывозе с этой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вывозятся за пределы территории государства без обязательства об их ввозе на эту территорию;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перемещаются по территории государств-членов ЕврАзЭС транзитом;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ввозятся на территорию государства и вывозятся за пределы этой территории для 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Информация, указанная в пункте 1 настоящей статьи, предоставляется согласно приложению к настоящему Протоколу.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Налоговые органы государств-членов ЕврАзЭС в рамках своей компетенции в целях контроля за трансфертным ценообразованием обмениваются информацией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расходам, связанным с доставкой товаров (транспортные расходы, страхование, предэкспортное кредитование и т.д.) до потребителей на территории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срокам и условиям доставки отгруженных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срокам и условиям оплаты за товары (работы, 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качеству поставляемых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ценообразованию продуктов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рыночным ценам на товары (работы, услуги), сложившимся на рынках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тарифам на перевозку, хранение и переработку товаров на территории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сведениям, необходимым для осуществления контроля за трансфертным ценообразованием.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 информации по товарам (работам, услугам) определяется запрашивающим налоговым органом государства-члена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Обмен информацией между налоговыми органами государств-членов ЕврАзЭС осуществляется в письменном (на бумажном носителе) или в электронном виде, заверенном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Налоговые органы государств-членов ЕврАзЭС предоставляют информацию, указанную в пункте 1 настоящей статьи, таможенным органам своих государств по их запросам.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Информация, указанная в статье 2 и в статье 3 настоящего Протокола, предоставляется не позднее 30 календарных дней со дня получения запроса налоговым органом государства-члена ЕврАзЭС.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государств-членов ЕврАзЭС соблюдают конфиденциальность полученной информации и обеспечивают режим ее защиты в соответствии с национальными законодательствами государств-членов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государств-членов ЕврАзЭС не допускают передачи информации третьим лицам.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настоящий Протокол могут вноситься изменения и дополнения, которые оформляются Сторонами дополнительными протоколами.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споры и разногласия относительно толкования и применения положений настоящего Протокола решаются путем переговоров и консультаций между Сторонами.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Депозитарием настоящего Протокола является Интеграционный Комитет Евразийского экономического сообщества.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со дня сдачи на хранение депозитарию третьего письменного уведомления о выполнении подписавшими его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необходимые внутригосударственные процедуры позднее, настоящий Протокол вступает в силу со дня сдачи соответствующего письменного уведомления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Протокола, направив письменное уведомление об этом депозитарию не менее чем за 6 месяцев до предполагаемой даты выхода.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 "____"__________ 2005 года в одном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Интеграционном Комитете Евразийского экономического сообщества, который направит каждой Стороне, подписавшей настоящий Протокол,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Республики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Республики Таджикистан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об обмене информацией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контролю за трансфертным ценообразованием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налоговыми и таможенными органами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 ЕврАзЭС  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Типовая форма предоставления информации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233"/>
        <w:gridCol w:w="1433"/>
        <w:gridCol w:w="1113"/>
        <w:gridCol w:w="1033"/>
        <w:gridCol w:w="1353"/>
        <w:gridCol w:w="1473"/>
        <w:gridCol w:w="1293"/>
        <w:gridCol w:w="121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жима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жима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ГТД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ВЭД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ГТД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ракта(до-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233"/>
        <w:gridCol w:w="1433"/>
        <w:gridCol w:w="1113"/>
        <w:gridCol w:w="1053"/>
        <w:gridCol w:w="1373"/>
        <w:gridCol w:w="1493"/>
        <w:gridCol w:w="1373"/>
        <w:gridCol w:w="115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 к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 к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счет-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(сче-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счет-фак-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(сче-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отп-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отп-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193"/>
        <w:gridCol w:w="1453"/>
        <w:gridCol w:w="1073"/>
        <w:gridCol w:w="1053"/>
        <w:gridCol w:w="1433"/>
        <w:gridCol w:w="1393"/>
        <w:gridCol w:w="1353"/>
        <w:gridCol w:w="121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тавки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73"/>
        <w:gridCol w:w="1433"/>
        <w:gridCol w:w="1093"/>
        <w:gridCol w:w="1013"/>
        <w:gridCol w:w="1353"/>
        <w:gridCol w:w="1453"/>
        <w:gridCol w:w="1333"/>
        <w:gridCol w:w="123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вида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ваниедоп.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мер.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доп.ед.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нетто (кг)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ракта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35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США)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