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f9d5" w14:textId="103f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об обмене информацией по контролю за трансфертным ценообразованием между налоговыми и таможенными органами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2005 года N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об обмене информацией по контролю за трансфертным ценообразованием между налоговыми и таможенными органами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Дунаева Армана Галиаскаровича заключить от имени Правительства Республики Казахстан Протокол об обмене информацией по контролю за трансфертным ценообразованием между налоговыми и таможенными органами государств-членов Евразийского экономического сообщества,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информацией по контролю за трансфертным ценообразованием между налоговыми и таможенными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органами государств-членов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об обмене информацией между налоговыми и таможенными органами государств-членов Евразийского экономического сообщества от 25 января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о Таможенном союзе и Едином экономическом пространстве от 26 февраля 1999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усилении контроля за ввозом и вывозом товаров (работ, услуг), своевременным и полным поступлением налогов, пошлин и иных платежей в государственные бюджеты государств-членов Евразийского экономического сообщества (далее - ЕврАзЭС),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осуществления государственного контроля при применении трансфертных цен на территории государств-членов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необходимость совершенствования налогового и таможенного контроля по международным сделкам, совершаемым хозяйствующими субъектами государств-членов ЕврАзЭС, а также по сделкам, где территории государств-членов ЕврАзЭС используются как транзитный коридор, обмена информацией между налоговыми и таможенными органами государств-членов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 этой целью оказывать друг другу содействие,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Протокола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"рыночная (свободная) цена" </w:t>
      </w:r>
      <w:r>
        <w:rPr>
          <w:rFonts w:ascii="Times New Roman"/>
          <w:b w:val="false"/>
          <w:i w:val="false"/>
          <w:color w:val="000000"/>
          <w:sz w:val="28"/>
        </w:rPr>
        <w:t xml:space="preserve">- рыночной (свободной) ценой товара (работ, услуг) признается цена, сложившаяся при взаимодействии спроса и предложения на национальном рынке идентичных (а при их отсутствии - однородных) товаров (работ, услуг) в сопоставимых экономических (коммерческих)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"идентичные товары"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товары (работы, услуги), имеющие одинаковые характерные для них основные признаки, в том числе такие признаки, как физические характеристики, качество и репутация на рынке, страна происхождения, производитель. При определении идентичности товаров незначительные различия в их внешнем виде могут не учитываться;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"однородные товары"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товары (работы, услуги), которые, не являясь идентичными, имеют сходные характеристики и состоят из схожих компонентов, что позволяет им выполнять те же функции и быть коммерчески взаимозаменяемыми. При определении однородности товаров (работ, услуг) учитываются, в частности, их качество, наличие товарного знака, репутация на рынке, страна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"трансфертная цена" </w:t>
      </w:r>
      <w:r>
        <w:rPr>
          <w:rFonts w:ascii="Times New Roman"/>
          <w:b w:val="false"/>
          <w:i w:val="false"/>
          <w:color w:val="000000"/>
          <w:sz w:val="28"/>
        </w:rPr>
        <w:t xml:space="preserve">- цена на товары (работы, услуги), которая отличается от объективно сформированной рыночной цены при совершении международных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"компетентные органы"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налоговые и таможенные органы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"контроль за трансфертным ценообразованием"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государственный контроль, осуществляемый компетентными органами для установления факта применения трансфертных цен на товары (работы, услуги) при международных сделках с целью дальнейшей корректировки налоговой базы в соответствии с национальным законодательством.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Таможенные органы государств-членов ЕврАзЭС в рамках своей компетенции предоставляют налоговым органам своих государств необходимую информацию по товарам,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ввозятся на территорию государства и остаются постоянно на этой территории без обязательства об их вывозе с этой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вывозятся за пределы территории государства без обязательства об их ввозе на эту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перемещаются по территории государств-членов ЕврАзЭС транзитом;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ввозятся на территорию государства и вывозятся за пределы этой территории для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указанная в пункте 1 настоящей статьи, предоставляется согласно приложению к настоящему Протоколу.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Налоговые органы государств-членов ЕврАзЭС в рамках своей компетенции в целях контроля за трансфертным ценообразованием обмениваются информацией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расходам, связанным с доставкой товаров (транспортные расходы, страхование, предэкспортное кредитование и т.д.) до потребителей на территории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срокам и условиям доставки отгруженных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срокам и условиям оплаты за товары (работы,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качеству поставляемых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ценообразованию продуктов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рыночным ценам на товары (работы, услуги), сложившимся на рынках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тарифам на перевозку, хранение и переработку товаров на территории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сведениям, необходимым для осуществления контроля за трансфертным ценообразованием.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информации по товарам (работам, услугам) определяется запрашивающим налоговым органом государства-члена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Обмен информацией между налоговыми органами государств-членов ЕврАзЭС осуществляется в письменном (на бумажном носителе) или в электронном виде, заверенном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Налоговые органы государств-членов ЕврАзЭС предоставляют информацию, указанную в пункте 1 настоящей статьи, таможенным органам своих государств по их запросам.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указанная в статье 2 и в статье 3 настоящего Протокола, предоставляется не позднее 30 календарных дней со дня получения запроса налоговым органом государства-члена ЕврАзЭС.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государств-членов ЕврАзЭС соблюдают конфиденциальность полученной информации и обеспечивают режим ее защиты в соответствии с национальными законодательствами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государств-членов ЕврАзЭС не допускают передачи информации третьим лицам.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настоящий Протокол могут вноситься изменения и дополнения, которые оформляются Сторонами дополнительными протоколами.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 относительно толкования и применения положений настоящего Протокола решаются путем переговоров и консультаций между Сторонами.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Протокола является Интеграционный Комитет Евразийского экономического сообщества.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со дня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внутригосударственные процедуры позднее, настоящий Протокол вступает в силу со дня сдачи соответствующего письменного уведомления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Протокола, направив письменное уведомление об этом депозитарию не менее чем за 6 месяцев до предполагаемой даты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 "____"__________ 2005 года в одном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Интеграционном Комитете Евразийского экономического сообщества, который направит каждой Стороне, подписавшей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Таджикистан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об обмене информацией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трансфертным ценообразованием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налоговыми и таможенными органами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ЕврАзЭС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Типовая форма предоставления информации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33"/>
        <w:gridCol w:w="1433"/>
        <w:gridCol w:w="1113"/>
        <w:gridCol w:w="1033"/>
        <w:gridCol w:w="1353"/>
        <w:gridCol w:w="1473"/>
        <w:gridCol w:w="1293"/>
        <w:gridCol w:w="121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жима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ракта(до-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33"/>
        <w:gridCol w:w="1433"/>
        <w:gridCol w:w="1113"/>
        <w:gridCol w:w="1053"/>
        <w:gridCol w:w="1373"/>
        <w:gridCol w:w="1493"/>
        <w:gridCol w:w="1373"/>
        <w:gridCol w:w="11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к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ния) к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(сче-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счет-фак-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(сче-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93"/>
        <w:gridCol w:w="1453"/>
        <w:gridCol w:w="1073"/>
        <w:gridCol w:w="1053"/>
        <w:gridCol w:w="1433"/>
        <w:gridCol w:w="1393"/>
        <w:gridCol w:w="1353"/>
        <w:gridCol w:w="121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тавки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73"/>
        <w:gridCol w:w="1433"/>
        <w:gridCol w:w="1093"/>
        <w:gridCol w:w="1013"/>
        <w:gridCol w:w="1353"/>
        <w:gridCol w:w="1453"/>
        <w:gridCol w:w="1333"/>
        <w:gridCol w:w="123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ваниедоп.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доп.ед.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нетто (кг)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ракта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35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