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0e49" w14:textId="46b0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197ащ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75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графы 5, таблицы пункта 6 "План мероприятий по реализации бюджетной программы", дополнить подпунктом и)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"и) Оплата комиссионного сбора банкам второго уровня за проведение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87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графы 5, таблицы пункта 6 "План мероприятий по реализации бюджетной программы",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части стоимости контрактов по закупу материалов и оборудования".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