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902a" w14:textId="2329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министерствами юстиции государств-членов Евразийского экономического сообщества о сотрудничестве в сфере обмена правовой информацией</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2004 года N 1163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Согласиться с подписанием Соглашения между министерствами юстиции государств-членов Евразийского экономического сообщества о сотрудничестве в сфере обмена правовой информацией.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министерствами юстиции государств-членов </w:t>
      </w:r>
      <w:r>
        <w:br/>
      </w:r>
      <w:r>
        <w:rPr>
          <w:rFonts w:ascii="Times New Roman"/>
          <w:b/>
          <w:i w:val="false"/>
          <w:color w:val="000000"/>
        </w:rPr>
        <w:t xml:space="preserve">
Евразийского экономического сообщества о сотрудничестве </w:t>
      </w:r>
      <w:r>
        <w:br/>
      </w:r>
      <w:r>
        <w:rPr>
          <w:rFonts w:ascii="Times New Roman"/>
          <w:b/>
          <w:i w:val="false"/>
          <w:color w:val="000000"/>
        </w:rPr>
        <w:t xml:space="preserve">
в сфере обмена правовой информацией </w:t>
      </w:r>
    </w:p>
    <w:p>
      <w:pPr>
        <w:spacing w:after="0"/>
        <w:ind w:left="0"/>
        <w:jc w:val="both"/>
      </w:pPr>
      <w:r>
        <w:rPr>
          <w:rFonts w:ascii="Times New Roman"/>
          <w:b w:val="false"/>
          <w:i w:val="false"/>
          <w:color w:val="000000"/>
          <w:sz w:val="28"/>
        </w:rPr>
        <w:t xml:space="preserve">      Министерства юстиции государств-членов Евразийского экономического сообщества, далее именуемые Сторонами, </w:t>
      </w:r>
      <w:r>
        <w:br/>
      </w:r>
      <w:r>
        <w:rPr>
          <w:rFonts w:ascii="Times New Roman"/>
          <w:b w:val="false"/>
          <w:i w:val="false"/>
          <w:color w:val="000000"/>
          <w:sz w:val="28"/>
        </w:rPr>
        <w:t xml:space="preserve">
      придавая важное значение международному сотрудничеству в правовой сфере, обеспечению защиты прав и свобод человека в соответствии с общепризнанными принципами и нормами международного права,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об учреждении Евразийского экономического сообщества (далее - ЕврАзЭС) и положением о Совете министров юстиции при Интеграционном комитете ЕврАзЭС, </w:t>
      </w:r>
      <w:r>
        <w:br/>
      </w:r>
      <w:r>
        <w:rPr>
          <w:rFonts w:ascii="Times New Roman"/>
          <w:b w:val="false"/>
          <w:i w:val="false"/>
          <w:color w:val="000000"/>
          <w:sz w:val="28"/>
        </w:rPr>
        <w:t xml:space="preserve">
      исходя из взаимного стремления Сторон развивать взаимодействие по вопросам, представляющим взаимный интерес, </w:t>
      </w:r>
      <w:r>
        <w:br/>
      </w:r>
      <w:r>
        <w:rPr>
          <w:rFonts w:ascii="Times New Roman"/>
          <w:b w:val="false"/>
          <w:i w:val="false"/>
          <w:color w:val="000000"/>
          <w:sz w:val="28"/>
        </w:rPr>
        <w:t xml:space="preserve">
      в целях формирования единого информационного пространства в рамках ЕврАзЭС,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обязуются осуществлять систематический обмен нормативными правовыми актами национального законодательства, представлять на взаимной основе информационно-методические и иные справочно-аналитические материалы по вопросам деятельности органов Сторон. </w:t>
      </w:r>
      <w:r>
        <w:br/>
      </w:r>
      <w:r>
        <w:rPr>
          <w:rFonts w:ascii="Times New Roman"/>
          <w:b w:val="false"/>
          <w:i w:val="false"/>
          <w:color w:val="000000"/>
          <w:sz w:val="28"/>
        </w:rPr>
        <w:t xml:space="preserve">
      Стороны осуществляют обмен нормативно-правовыми актами, иной правовой информацией, изложенной на русском языке.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Стороны в пределах своей компетенции сотрудничают по следующим основным направлениям деятельности: </w:t>
      </w:r>
      <w:r>
        <w:br/>
      </w:r>
      <w:r>
        <w:rPr>
          <w:rFonts w:ascii="Times New Roman"/>
          <w:b w:val="false"/>
          <w:i w:val="false"/>
          <w:color w:val="000000"/>
          <w:sz w:val="28"/>
        </w:rPr>
        <w:t xml:space="preserve">
      информационно-методическое обеспечение законодательной деятельности; </w:t>
      </w:r>
      <w:r>
        <w:br/>
      </w:r>
      <w:r>
        <w:rPr>
          <w:rFonts w:ascii="Times New Roman"/>
          <w:b w:val="false"/>
          <w:i w:val="false"/>
          <w:color w:val="000000"/>
          <w:sz w:val="28"/>
        </w:rPr>
        <w:t xml:space="preserve">
      развитие правовых информационных систем; </w:t>
      </w:r>
      <w:r>
        <w:br/>
      </w:r>
      <w:r>
        <w:rPr>
          <w:rFonts w:ascii="Times New Roman"/>
          <w:b w:val="false"/>
          <w:i w:val="false"/>
          <w:color w:val="000000"/>
          <w:sz w:val="28"/>
        </w:rPr>
        <w:t xml:space="preserve">
      участие в разработке и реализации программ правовой информатизации; </w:t>
      </w:r>
      <w:r>
        <w:br/>
      </w:r>
      <w:r>
        <w:rPr>
          <w:rFonts w:ascii="Times New Roman"/>
          <w:b w:val="false"/>
          <w:i w:val="false"/>
          <w:color w:val="000000"/>
          <w:sz w:val="28"/>
        </w:rPr>
        <w:t xml:space="preserve">
      организация работы по созданию и ведению баз данных правовой информации в сфере юстиции; </w:t>
      </w:r>
      <w:r>
        <w:br/>
      </w:r>
      <w:r>
        <w:rPr>
          <w:rFonts w:ascii="Times New Roman"/>
          <w:b w:val="false"/>
          <w:i w:val="false"/>
          <w:color w:val="000000"/>
          <w:sz w:val="28"/>
        </w:rPr>
        <w:t xml:space="preserve">
      осуществление обмена правовой информацией, в том числе и в машиночитаемой форме, с международными организациями и третьими государствами; </w:t>
      </w:r>
      <w:r>
        <w:br/>
      </w:r>
      <w:r>
        <w:rPr>
          <w:rFonts w:ascii="Times New Roman"/>
          <w:b w:val="false"/>
          <w:i w:val="false"/>
          <w:color w:val="000000"/>
          <w:sz w:val="28"/>
        </w:rPr>
        <w:t xml:space="preserve">
      координация деятельности по созданию национальных банков данных законодательства государств-членов Евразийского экономического сообщества; </w:t>
      </w:r>
      <w:r>
        <w:br/>
      </w:r>
      <w:r>
        <w:rPr>
          <w:rFonts w:ascii="Times New Roman"/>
          <w:b w:val="false"/>
          <w:i w:val="false"/>
          <w:color w:val="000000"/>
          <w:sz w:val="28"/>
        </w:rPr>
        <w:t xml:space="preserve">
      осуществление информационно-методического обеспечения деятельности службы судебных приставов и иных органов Сторон; </w:t>
      </w:r>
      <w:r>
        <w:br/>
      </w:r>
      <w:r>
        <w:rPr>
          <w:rFonts w:ascii="Times New Roman"/>
          <w:b w:val="false"/>
          <w:i w:val="false"/>
          <w:color w:val="000000"/>
          <w:sz w:val="28"/>
        </w:rPr>
        <w:t xml:space="preserve">
      организация информационно-методического обеспечения оперативно-розыскной деятельности в учреждениях, исполняющих уголовные наказания, и следственных изоляторах.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Стороны обеспечивают полноту и достоверность представляемой информации. </w:t>
      </w:r>
      <w:r>
        <w:br/>
      </w:r>
      <w:r>
        <w:rPr>
          <w:rFonts w:ascii="Times New Roman"/>
          <w:b w:val="false"/>
          <w:i w:val="false"/>
          <w:color w:val="000000"/>
          <w:sz w:val="28"/>
        </w:rPr>
        <w:t xml:space="preserve">
      Представленная информация используется Сторонами только в заявленных целях без ущерба для Стороны, ее представившей.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Порядок и сроки исполнения запросов на представление (получение) правовой информации осуществляются в соответствии с нормативными правовыми актами государства исполняющей Стороны.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на основе запросов заинтересованной Стороны или ее органов. </w:t>
      </w:r>
      <w:r>
        <w:br/>
      </w:r>
      <w:r>
        <w:rPr>
          <w:rFonts w:ascii="Times New Roman"/>
          <w:b w:val="false"/>
          <w:i w:val="false"/>
          <w:color w:val="000000"/>
          <w:sz w:val="28"/>
        </w:rPr>
        <w:t xml:space="preserve">
      Запрос направляется в письменной форме либо в безотлагательных случаях в устной форме при условии обязательного последующего его письменного подтверждения в течение трех суток, в том числе с использованием технических средств передачи данных. </w:t>
      </w:r>
      <w:r>
        <w:br/>
      </w:r>
      <w:r>
        <w:rPr>
          <w:rFonts w:ascii="Times New Roman"/>
          <w:b w:val="false"/>
          <w:i w:val="false"/>
          <w:color w:val="000000"/>
          <w:sz w:val="28"/>
        </w:rPr>
        <w:t xml:space="preserve">
      Запрос об оказании содействия должен содержать: </w:t>
      </w:r>
      <w:r>
        <w:br/>
      </w:r>
      <w:r>
        <w:rPr>
          <w:rFonts w:ascii="Times New Roman"/>
          <w:b w:val="false"/>
          <w:i w:val="false"/>
          <w:color w:val="000000"/>
          <w:sz w:val="28"/>
        </w:rPr>
        <w:t xml:space="preserve">
      наименование запрашиваемой Стороны; </w:t>
      </w:r>
      <w:r>
        <w:br/>
      </w:r>
      <w:r>
        <w:rPr>
          <w:rFonts w:ascii="Times New Roman"/>
          <w:b w:val="false"/>
          <w:i w:val="false"/>
          <w:color w:val="000000"/>
          <w:sz w:val="28"/>
        </w:rPr>
        <w:t xml:space="preserve">
      изложение существа дела; </w:t>
      </w:r>
      <w:r>
        <w:br/>
      </w:r>
      <w:r>
        <w:rPr>
          <w:rFonts w:ascii="Times New Roman"/>
          <w:b w:val="false"/>
          <w:i w:val="false"/>
          <w:color w:val="000000"/>
          <w:sz w:val="28"/>
        </w:rPr>
        <w:t xml:space="preserve">
      указание цели, возможных сроков исполнения и обоснование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любую другую информацию, которая может быть полезна для надлежащего исполнения запроса. </w:t>
      </w:r>
      <w:r>
        <w:br/>
      </w:r>
      <w:r>
        <w:rPr>
          <w:rFonts w:ascii="Times New Roman"/>
          <w:b w:val="false"/>
          <w:i w:val="false"/>
          <w:color w:val="000000"/>
          <w:sz w:val="28"/>
        </w:rPr>
        <w:t xml:space="preserve">
      Запрос об оказании содействия подписывается руководителем запрашивающей Стороны.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В исполнении запроса о содействии отказывается полностью или частично, если запрашиваемая Сторона полагает, что его исполнение может нанести ущерб суверенитету, безопасности или другим существенным интересам государства либо противоречит законодательству или международным обязательствам государства. </w:t>
      </w:r>
      <w:r>
        <w:br/>
      </w:r>
      <w:r>
        <w:rPr>
          <w:rFonts w:ascii="Times New Roman"/>
          <w:b w:val="false"/>
          <w:i w:val="false"/>
          <w:color w:val="000000"/>
          <w:sz w:val="28"/>
        </w:rPr>
        <w:t xml:space="preserve">
      До вынесения решения об отказе в оказании содействия запрашиваемая Сторона проводит консультации с запрашивающей Стороной для рассмотрения вопроса о том, может ли содействие быть оказано при соблюдении тех условий, которые запрашиваемая Сторона считает необходимыми. В случае согласия с выдвинутыми условиями запрашивающая Сторона обеспечивает их соблюдение. </w:t>
      </w:r>
      <w:r>
        <w:br/>
      </w:r>
      <w:r>
        <w:rPr>
          <w:rFonts w:ascii="Times New Roman"/>
          <w:b w:val="false"/>
          <w:i w:val="false"/>
          <w:color w:val="000000"/>
          <w:sz w:val="28"/>
        </w:rPr>
        <w:t xml:space="preserve">
      Запрашиваемая Сторона письменно уведомляет о полном или частичном отказе в исполнении запроса с указанием причины отказа.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Запрашиваемая Сторона принимает все необходимые меры для обеспечения своевременного и полного исполнения запроса. </w:t>
      </w:r>
      <w:r>
        <w:br/>
      </w:r>
      <w:r>
        <w:rPr>
          <w:rFonts w:ascii="Times New Roman"/>
          <w:b w:val="false"/>
          <w:i w:val="false"/>
          <w:color w:val="000000"/>
          <w:sz w:val="28"/>
        </w:rPr>
        <w:t xml:space="preserve">
      Запрашивающая Сторона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Запрашиваемая Сторона вправе запросить дополнительные сведения, необходимые, по ее мнению, для надлежащего исполнения запроса. </w:t>
      </w:r>
      <w:r>
        <w:br/>
      </w:r>
      <w:r>
        <w:rPr>
          <w:rFonts w:ascii="Times New Roman"/>
          <w:b w:val="false"/>
          <w:i w:val="false"/>
          <w:color w:val="000000"/>
          <w:sz w:val="28"/>
        </w:rPr>
        <w:t xml:space="preserve">
      Если запрашиваемая Сторона полагает, что немедленное исполнение запроса может помешать уголовному преследованию или иному производству, осуществляемому в ее государстве, она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запрашивающей Стороной. Если запрашивающая Сторона согласна на оказание ей содействия на предложенных условиях, она обеспечивает соблюдение этих условий. </w:t>
      </w:r>
      <w:r>
        <w:br/>
      </w:r>
      <w:r>
        <w:rPr>
          <w:rFonts w:ascii="Times New Roman"/>
          <w:b w:val="false"/>
          <w:i w:val="false"/>
          <w:color w:val="000000"/>
          <w:sz w:val="28"/>
        </w:rPr>
        <w:t xml:space="preserve">
      Запрашиваемая Сторона по просьбе запрашивающей Стороны принимает необходимые меры для обеспечения конфиденциальности содержания этого запроса и сопровождающих его документов. </w:t>
      </w:r>
      <w:r>
        <w:br/>
      </w:r>
      <w:r>
        <w:rPr>
          <w:rFonts w:ascii="Times New Roman"/>
          <w:b w:val="false"/>
          <w:i w:val="false"/>
          <w:color w:val="000000"/>
          <w:sz w:val="28"/>
        </w:rPr>
        <w:t xml:space="preserve">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Для передачи третьей Стороне информации и документов, полученных одной Стороной на основании настоящего Соглашения, не требуется предварительного согласия предоставившей их Стороны, если они являются общедоступными в государстве этой Стороны и если при их передаче она не выдвинула такое условие. </w:t>
      </w:r>
      <w:r>
        <w:br/>
      </w:r>
      <w:r>
        <w:rPr>
          <w:rFonts w:ascii="Times New Roman"/>
          <w:b w:val="false"/>
          <w:i w:val="false"/>
          <w:color w:val="000000"/>
          <w:sz w:val="28"/>
        </w:rPr>
        <w:t xml:space="preserve">
      Запрашивающая Сторона заранее уведомляет запрашиваемую Сторону о возможном и предполагаемом использовании или разглашении такой информации и документов.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Расходы, связанные с финансированием мероприятий, проводимых в рамках настоящего Соглашения, осуществляются за счет принимающей Стороны, а расходы, связанные с участием в этих мероприятиях, несет направляющая Сторона.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Координация мероприятий по сотрудничеству Сторон в рамках настоящего Соглашения возлагается на соответствующие органы Сторон, которые могут взаимодействовать друг с другом непосредственно. </w:t>
      </w:r>
      <w:r>
        <w:br/>
      </w:r>
      <w:r>
        <w:rPr>
          <w:rFonts w:ascii="Times New Roman"/>
          <w:b w:val="false"/>
          <w:i w:val="false"/>
          <w:color w:val="000000"/>
          <w:sz w:val="28"/>
        </w:rPr>
        <w:t xml:space="preserve">
      Стороны взаимно информируют о своих органах, через которые будет осуществляться обмен информацией.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Органы ЕврАзЭС в пределах своей компетенции могут участвовать в обмене правовой информацией. Формы и методы такого участия определяются по согласованию с Советом министров юстиции при Интеграционном комитете ЕврАзЭС. </w:t>
      </w:r>
      <w:r>
        <w:br/>
      </w:r>
      <w:r>
        <w:rPr>
          <w:rFonts w:ascii="Times New Roman"/>
          <w:b w:val="false"/>
          <w:i w:val="false"/>
          <w:color w:val="000000"/>
          <w:sz w:val="28"/>
        </w:rPr>
        <w:t xml:space="preserve">
      Организационно-правовое обеспечение обмена нормативными правовыми актами государств-членов ЕврАзЭС решением Совета министров юстиции при Интеграционном комитете ЕврАзЭС может быть возложено на органы Совета.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вытекающих из других международных договоров государств Сторон.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В настоящее Соглашение могут быть внесены изменения и дополнения по согласованию Сторон, оформляемые отдельными протоколами, которые являются неотъемлемой частью настоящего Соглашения.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Споры и разногласия, которые могут возникнуть в связи с толкованием и применением положений настоящего Соглашения, разрешаются путем переговоров и консультаций.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Настоящее Соглашение вступает в силу с даты его подписания. Каждая Сторона может выйти из настоящего Соглашения путем направления письменного уведомления депозитарию, которым является Интеграционный комитет ЕврАзЭС. Для этой Стороны настоящее Соглашение прекращает свое действие по истечении трех месяцев со дня получения такого уведомления депозитарием. </w:t>
      </w:r>
    </w:p>
    <w:p>
      <w:pPr>
        <w:spacing w:after="0"/>
        <w:ind w:left="0"/>
        <w:jc w:val="both"/>
      </w:pPr>
      <w:r>
        <w:rPr>
          <w:rFonts w:ascii="Times New Roman"/>
          <w:b w:val="false"/>
          <w:i w:val="false"/>
          <w:color w:val="000000"/>
          <w:sz w:val="28"/>
        </w:rPr>
        <w:t xml:space="preserve">      Совершено в городе ___________ "___"__________ 2004 года в одном экземпляре на русском языке. Подлинный экземпляр настоящего Соглашения хранится в Интеграционном комитете ЕврАзЭС, который направит каждой Стороне его заверенную копию.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Беларусь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Кыргызской Республики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