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2a2b" w14:textId="2392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автомобилей для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2004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государственных органов и количество техники, приобретаемой за счет средств, предусмотренных в республиканском бюджете на 2004 год по республиканской бюджетной программе 009 "Обновление парка автомашин для государственных органов".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порядке приобрести автомобили согласно вышеуказанному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порядке передать приобретенные автомобили на балансы соответствующих государственных органов.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2004 года N  304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и количество техники, приобретаемой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средств, предусмотренных в республиканском бюджете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по республиканской бюджетной программе 009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"Обновление парка автомашин для государственных органов"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постановлением Правительства РК от 12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1046 </w:t>
      </w:r>
      <w:r>
        <w:rPr>
          <w:rFonts w:ascii="Times New Roman"/>
          <w:b w:val="false"/>
          <w:i w:val="false"/>
          <w:color w:val="ff0000"/>
          <w:sz w:val="28"/>
        </w:rPr>
        <w:t xml:space="preserve"> 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      !   Наименование   !   Количество,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государственного     !    автомобиля    !  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органа 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  !        3   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Приобретение 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Управление делами          Мерседес-Бенц,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      класс 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 Мерседес-Бенц,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класс Е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Автомобиль-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внедорожник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Автобус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Хозяйственное управление   Фольксваген Пассат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Парламента Республики      Автобус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              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