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d3af" w14:textId="b78d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Письма-Соглашения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4 марта 2004 года N 273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Письма-Соглашения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Республики Казахстан  О ратификации Письма-Соглашения между Республикой Казахстан </w:t>
      </w:r>
      <w:r>
        <w:br/>
      </w:r>
      <w:r>
        <w:rPr>
          <w:rFonts w:ascii="Times New Roman"/>
          <w:b/>
          <w:i w:val="false"/>
          <w:color w:val="000000"/>
        </w:rPr>
        <w:t xml:space="preserve">
и Международным Банком Реконструкции и Развития о выделении </w:t>
      </w:r>
      <w:r>
        <w:br/>
      </w:r>
      <w:r>
        <w:rPr>
          <w:rFonts w:ascii="Times New Roman"/>
          <w:b/>
          <w:i w:val="false"/>
          <w:color w:val="000000"/>
        </w:rPr>
        <w:t xml:space="preserve">
гранта на подготовку второго этапа проекта </w:t>
      </w:r>
      <w:r>
        <w:br/>
      </w:r>
      <w:r>
        <w:rPr>
          <w:rFonts w:ascii="Times New Roman"/>
          <w:b/>
          <w:i w:val="false"/>
          <w:color w:val="000000"/>
        </w:rPr>
        <w:t xml:space="preserve">
"Постприватизационная поддержка сельского хозяйства" </w:t>
      </w:r>
    </w:p>
    <w:p>
      <w:pPr>
        <w:spacing w:after="0"/>
        <w:ind w:left="0"/>
        <w:jc w:val="both"/>
      </w:pPr>
      <w:r>
        <w:rPr>
          <w:rFonts w:ascii="Times New Roman"/>
          <w:b w:val="false"/>
          <w:i w:val="false"/>
          <w:color w:val="000000"/>
          <w:sz w:val="28"/>
        </w:rPr>
        <w:t xml:space="preserve">      Ратифицировать Письмо-Соглашение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 совершенное в городе Астане 27 ноября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Неофициальный перевод </w:t>
      </w:r>
    </w:p>
    <w:bookmarkEnd w:id="1"/>
    <w:p>
      <w:pPr>
        <w:spacing w:after="0"/>
        <w:ind w:left="0"/>
        <w:jc w:val="both"/>
      </w:pPr>
      <w:r>
        <w:rPr>
          <w:rFonts w:ascii="Times New Roman"/>
          <w:b/>
          <w:i w:val="false"/>
          <w:color w:val="000000"/>
          <w:sz w:val="28"/>
        </w:rPr>
        <w:t xml:space="preserve">Всемирный Банк </w:t>
      </w:r>
      <w:r>
        <w:rPr>
          <w:rFonts w:ascii="Times New Roman"/>
          <w:b w:val="false"/>
          <w:i w:val="false"/>
          <w:color w:val="000000"/>
          <w:sz w:val="28"/>
        </w:rPr>
        <w:t xml:space="preserve">       1818 Н Street N.W.  (202) 477-1234 </w:t>
      </w:r>
      <w:r>
        <w:br/>
      </w:r>
      <w:r>
        <w:rPr>
          <w:rFonts w:ascii="Times New Roman"/>
          <w:b w:val="false"/>
          <w:i w:val="false"/>
          <w:color w:val="000000"/>
          <w:sz w:val="28"/>
        </w:rPr>
        <w:t xml:space="preserve">
Международный Банк   Washington, D.C.    Кабельный адрес: INTBAFRAD </w:t>
      </w:r>
      <w:r>
        <w:br/>
      </w:r>
      <w:r>
        <w:rPr>
          <w:rFonts w:ascii="Times New Roman"/>
          <w:b w:val="false"/>
          <w:i w:val="false"/>
          <w:color w:val="000000"/>
          <w:sz w:val="28"/>
        </w:rPr>
        <w:t xml:space="preserve">
Реконструкции и      20433 USA           Кабельный адрес: INDEVAS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Ассоциация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                                         16 сентября 2003 года </w:t>
      </w:r>
    </w:p>
    <w:p>
      <w:pPr>
        <w:spacing w:after="0"/>
        <w:ind w:left="0"/>
        <w:jc w:val="both"/>
      </w:pPr>
      <w:r>
        <w:rPr>
          <w:rFonts w:ascii="Times New Roman"/>
          <w:b w:val="false"/>
          <w:i w:val="false"/>
          <w:color w:val="000000"/>
          <w:sz w:val="28"/>
        </w:rPr>
        <w:t xml:space="preserve">Г-ну Есимову А.С. </w:t>
      </w:r>
      <w:r>
        <w:br/>
      </w:r>
      <w:r>
        <w:rPr>
          <w:rFonts w:ascii="Times New Roman"/>
          <w:b w:val="false"/>
          <w:i w:val="false"/>
          <w:color w:val="000000"/>
          <w:sz w:val="28"/>
        </w:rPr>
        <w:t xml:space="preserve">
Заместителю Премьер-Министра - </w:t>
      </w:r>
      <w:r>
        <w:br/>
      </w:r>
      <w:r>
        <w:rPr>
          <w:rFonts w:ascii="Times New Roman"/>
          <w:b w:val="false"/>
          <w:i w:val="false"/>
          <w:color w:val="000000"/>
          <w:sz w:val="28"/>
        </w:rPr>
        <w:t xml:space="preserve">
Министру сельского хозяйства </w:t>
      </w:r>
      <w:r>
        <w:br/>
      </w:r>
      <w:r>
        <w:rPr>
          <w:rFonts w:ascii="Times New Roman"/>
          <w:b w:val="false"/>
          <w:i w:val="false"/>
          <w:color w:val="000000"/>
          <w:sz w:val="28"/>
        </w:rPr>
        <w:t xml:space="preserve">
Ул. Абая, 49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Уважаемый г-н Есимов, </w:t>
      </w:r>
    </w:p>
    <w:p>
      <w:pPr>
        <w:spacing w:after="0"/>
        <w:ind w:left="0"/>
        <w:jc w:val="both"/>
      </w:pPr>
      <w:r>
        <w:rPr>
          <w:rFonts w:ascii="Times New Roman"/>
          <w:b w:val="false"/>
          <w:i w:val="false"/>
          <w:color w:val="000000"/>
          <w:sz w:val="28"/>
        </w:rPr>
        <w:t xml:space="preserve">Кас.: Грант Правительства Японии для Республики Казахстан </w:t>
      </w:r>
      <w:r>
        <w:br/>
      </w:r>
      <w:r>
        <w:rPr>
          <w:rFonts w:ascii="Times New Roman"/>
          <w:b w:val="false"/>
          <w:i w:val="false"/>
          <w:color w:val="000000"/>
          <w:sz w:val="28"/>
        </w:rPr>
        <w:t xml:space="preserve">
на подготовку второго этапа проекта постприватизационной </w:t>
      </w:r>
      <w:r>
        <w:br/>
      </w:r>
      <w:r>
        <w:rPr>
          <w:rFonts w:ascii="Times New Roman"/>
          <w:b w:val="false"/>
          <w:i w:val="false"/>
          <w:color w:val="000000"/>
          <w:sz w:val="28"/>
        </w:rPr>
        <w:t xml:space="preserve">
поддержки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Грант TF051894 </w:t>
      </w:r>
    </w:p>
    <w:p>
      <w:pPr>
        <w:spacing w:after="0"/>
        <w:ind w:left="0"/>
        <w:jc w:val="both"/>
      </w:pPr>
      <w:r>
        <w:rPr>
          <w:rFonts w:ascii="Times New Roman"/>
          <w:b w:val="false"/>
          <w:i w:val="false"/>
          <w:color w:val="000000"/>
          <w:sz w:val="28"/>
        </w:rPr>
        <w:t xml:space="preserve">      От лица Международного Банка Реконструкции и Развития (Банк) и в качестве администратора грантов, предоставляемых Правительством Японии, настоящим выражаем наше согласие с выделением гранта (Грант) в размере, не превышающем шестьсот восемьдесят тысяч пятьдесят долларов США (680 050), Республике Казахстан (Получатель). </w:t>
      </w:r>
      <w:r>
        <w:br/>
      </w:r>
      <w:r>
        <w:rPr>
          <w:rFonts w:ascii="Times New Roman"/>
          <w:b w:val="false"/>
          <w:i w:val="false"/>
          <w:color w:val="000000"/>
          <w:sz w:val="28"/>
        </w:rPr>
        <w:t xml:space="preserve">
      Грант предоставляется в ответ на запрос Получателя о предоставлении финансовой помощи, а также для целей и в соответствии с положениями и условиями Приложения к настоящему Письму-Соглашению.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Письма-Соглашения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Данное Письмо-Соглашение вступает в силу с даты направления Банком Получателю уведомления о (1) получении им копии Письма-Соглашения, подписанного Вами, и (2)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подписано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Искренне ваш, </w:t>
      </w:r>
    </w:p>
    <w:p>
      <w:pPr>
        <w:spacing w:after="0"/>
        <w:ind w:left="0"/>
        <w:jc w:val="both"/>
      </w:pPr>
      <w:r>
        <w:rPr>
          <w:rFonts w:ascii="Times New Roman"/>
          <w:b w:val="false"/>
          <w:i w:val="false"/>
          <w:color w:val="000000"/>
          <w:sz w:val="28"/>
        </w:rPr>
        <w:t xml:space="preserve">От имени </w:t>
      </w:r>
      <w:r>
        <w:br/>
      </w:r>
      <w:r>
        <w:rPr>
          <w:rFonts w:ascii="Times New Roman"/>
          <w:b w:val="false"/>
          <w:i w:val="false"/>
          <w:color w:val="000000"/>
          <w:sz w:val="28"/>
        </w:rPr>
        <w:t xml:space="preserve">
Международного Банка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Деннис де Трей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Региональное представительство в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i w:val="false"/>
          <w:color w:val="000000"/>
          <w:sz w:val="28"/>
        </w:rPr>
        <w:t xml:space="preserve">Согласовано </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Подпись _____________ </w:t>
      </w:r>
      <w:r>
        <w:br/>
      </w:r>
      <w:r>
        <w:rPr>
          <w:rFonts w:ascii="Times New Roman"/>
          <w:b w:val="false"/>
          <w:i w:val="false"/>
          <w:color w:val="000000"/>
          <w:sz w:val="28"/>
        </w:rPr>
        <w:t xml:space="preserve">
Имя _________________ </w:t>
      </w:r>
      <w:r>
        <w:br/>
      </w:r>
      <w:r>
        <w:rPr>
          <w:rFonts w:ascii="Times New Roman"/>
          <w:b w:val="false"/>
          <w:i w:val="false"/>
          <w:color w:val="000000"/>
          <w:sz w:val="28"/>
        </w:rPr>
        <w:t xml:space="preserve">
Должность ___________ </w:t>
      </w:r>
      <w:r>
        <w:br/>
      </w:r>
      <w:r>
        <w:rPr>
          <w:rFonts w:ascii="Times New Roman"/>
          <w:b w:val="false"/>
          <w:i w:val="false"/>
          <w:color w:val="000000"/>
          <w:sz w:val="28"/>
        </w:rPr>
        <w:t xml:space="preserve">
Дата ________________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w:t>
      </w:r>
    </w:p>
    <w:bookmarkEnd w:id="2"/>
    <w:p>
      <w:pPr>
        <w:spacing w:after="0"/>
        <w:ind w:left="0"/>
        <w:jc w:val="left"/>
      </w:pPr>
      <w:r>
        <w:rPr>
          <w:rFonts w:ascii="Times New Roman"/>
          <w:b/>
          <w:i w:val="false"/>
          <w:color w:val="000000"/>
        </w:rPr>
        <w:t xml:space="preserve"> Цели, сроки и условия предоставления Гранта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Цели и мероприятия </w:t>
      </w:r>
    </w:p>
    <w:bookmarkEnd w:id="3"/>
    <w:p>
      <w:pPr>
        <w:spacing w:after="0"/>
        <w:ind w:left="0"/>
        <w:jc w:val="both"/>
      </w:pPr>
      <w:r>
        <w:rPr>
          <w:rFonts w:ascii="Times New Roman"/>
          <w:b w:val="false"/>
          <w:i w:val="false"/>
          <w:color w:val="000000"/>
          <w:sz w:val="28"/>
        </w:rPr>
        <w:t xml:space="preserve">      1.1. Целью Гранта является оказание помощи в подготовке второго этапа проекта постприватизационной поддержки сельского хозяйства (ППСХ II), основными задачами которого являются: (а) дальнейшее развитие сельских финансовых рынков и расширение возможности доступа малого и среднего бизнеса на селе к коммерческим финансовым услугам; (б) поддержка устойчивых схем микрофинансирования на селе предоставляющим финансовые услуги беднейшим слоям сельского населения, которое не имеет доступа к банковским услугам; (в) улучшение законодательной и институциональной базы для сельского кредитования; и (г) построение институциональных возможностей для развития консультационных услуг на селе (Проект). Мероприятия, на которые предоставляется Грант (Мероприятия), приведены ниже: </w:t>
      </w:r>
      <w:r>
        <w:br/>
      </w:r>
      <w:r>
        <w:rPr>
          <w:rFonts w:ascii="Times New Roman"/>
          <w:b w:val="false"/>
          <w:i w:val="false"/>
          <w:color w:val="000000"/>
          <w:sz w:val="28"/>
        </w:rPr>
        <w:t xml:space="preserve">
      (а) предоставление технической помощи для: (1) упрощения процедуры одобрения сельских кредитов, которая была установлена во время этапа I, и подготовки пересмотренного руководства по одобрению займов, (2) подготовки пересмотренного руководства по сельскому кредитованию для Участвующих Финансовых Учреждений (УФУ), принимая во внимание перенаправление фокуса проекта на малые предприятия, (3) усиления возможностей, созданных в коммерческих банках по оценке и мониторингу кредитования сельских предприятий и направления имеющихся кредитов на подходящих фермеров, и успешному функционированию, (4) пересмотра имеющихся займовых/кредитных операций в стране, поддерживаемых Правительством и донорами и предоставления рекомендаций по улучшению процесса обработки и одобрения займов, и (5) обучение кредитного штата УФУ с ориентировочной стоимостью 128 500 долл. США; </w:t>
      </w:r>
      <w:r>
        <w:br/>
      </w:r>
      <w:r>
        <w:rPr>
          <w:rFonts w:ascii="Times New Roman"/>
          <w:b w:val="false"/>
          <w:i w:val="false"/>
          <w:color w:val="000000"/>
          <w:sz w:val="28"/>
        </w:rPr>
        <w:t xml:space="preserve">
      (б) поддержка учреждений по микрофинансированию посредством: (1) подготовки дизайна небольшого Центра Сельского Микрофинансирования (Центр), который будет учрежден в рамках проекта ППСХ II, (2) укрепления доверия к выбранным микрофинансовым учреждениям и повышение их устойчивости, (3) определения функций и обязанностей Центра, написания устава, операционного руководства и обучения персонала, (4) усиления финансового менеджмента, бухгалтерских и отчетных навыков, (5) усиления возможностей малых сельских микрофинансовых учреждений для достижения ими финансовой устойчивости, с ориентировочной стоимостью 233 300 долл. США; </w:t>
      </w:r>
      <w:r>
        <w:br/>
      </w:r>
      <w:r>
        <w:rPr>
          <w:rFonts w:ascii="Times New Roman"/>
          <w:b w:val="false"/>
          <w:i w:val="false"/>
          <w:color w:val="000000"/>
          <w:sz w:val="28"/>
        </w:rPr>
        <w:t xml:space="preserve">
      (в) предоставление технической помощи для разработки информационного и консультационного компонента проекта с планом реализации, определение потребностей населения путем проведения семинаров для заинтересованных сторон, а также заключение </w:t>
      </w:r>
      <w:r>
        <w:br/>
      </w:r>
      <w:r>
        <w:rPr>
          <w:rFonts w:ascii="Times New Roman"/>
          <w:b w:val="false"/>
          <w:i w:val="false"/>
          <w:color w:val="000000"/>
          <w:sz w:val="28"/>
        </w:rPr>
        <w:t xml:space="preserve">
улучшенных контрактных соглашений между консультантами, донорами и бенефициарами, с ориентировочной стоимостью 57 750 долл. США; </w:t>
      </w:r>
      <w:r>
        <w:br/>
      </w:r>
      <w:r>
        <w:rPr>
          <w:rFonts w:ascii="Times New Roman"/>
          <w:b w:val="false"/>
          <w:i w:val="false"/>
          <w:color w:val="000000"/>
          <w:sz w:val="28"/>
        </w:rPr>
        <w:t xml:space="preserve">
      (г) развитие базы для устойчивой финансовой схемы на селе, включая институциональные и правовые реформы для совершенствования сельского кредитования и внедрения системы управления рисками, с ориентировочной стоимостью 133 800 долл. США; </w:t>
      </w:r>
      <w:r>
        <w:br/>
      </w:r>
      <w:r>
        <w:rPr>
          <w:rFonts w:ascii="Times New Roman"/>
          <w:b w:val="false"/>
          <w:i w:val="false"/>
          <w:color w:val="000000"/>
          <w:sz w:val="28"/>
        </w:rPr>
        <w:t xml:space="preserve">
      (д) техническое содействие для выполнения: (1) социального анализа проекта; (2) экологической оценки; (3) подготовки проектных документов и планов реализации; (4) аудита гранта, с ориентировочной стоимостью 126 700 долл. США.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Общие вопросы реализации </w:t>
      </w:r>
    </w:p>
    <w:bookmarkEnd w:id="4"/>
    <w:p>
      <w:pPr>
        <w:spacing w:after="0"/>
        <w:ind w:left="0"/>
        <w:jc w:val="both"/>
      </w:pPr>
      <w:r>
        <w:rPr>
          <w:rFonts w:ascii="Times New Roman"/>
          <w:b w:val="false"/>
          <w:i w:val="false"/>
          <w:color w:val="000000"/>
          <w:sz w:val="28"/>
        </w:rPr>
        <w:t xml:space="preserve">      2.1. Получатель через Министерство сельского хозяйства должен: (а) осуществлять Мероприятия с должным усердием и эффективностью; (б) своевременно предоставлять финансирование, оборудование, услуги и другие ресурсы, требуемые для этой цели; (в) предоставлять всю информацию, касающуюся Мероприятий и использования средств Гранта, в ответ на обоснованные просьбы Банка; (г) время от времени обмениваться мнениями с представителями Банка о прогрессе и результатах Мероприятий; (д) предпринимать необходимые меры для предоставления Банку возможности посещать территорию Казахстана в целях, имеющих отношение к Гранту; и (е) обеспечивать использование товаров и услуг, финансируемых из </w:t>
      </w:r>
      <w:r>
        <w:br/>
      </w:r>
      <w:r>
        <w:rPr>
          <w:rFonts w:ascii="Times New Roman"/>
          <w:b w:val="false"/>
          <w:i w:val="false"/>
          <w:color w:val="000000"/>
          <w:sz w:val="28"/>
        </w:rPr>
        <w:t xml:space="preserve">
средств Гранта, исключительно на цели Проекта. Не ограничиваясь вышеизложенным, Получатель будет по просьбе Банка подготавливать и предоставлять Банку в кратчайшие сроки после завершения Мероприятий отчет о результатах и воздействии Мероприятий, удовлетворяющий по форме и содержанию требованиям Банка.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Закупки </w:t>
      </w:r>
    </w:p>
    <w:bookmarkEnd w:id="5"/>
    <w:p>
      <w:pPr>
        <w:spacing w:after="0"/>
        <w:ind w:left="0"/>
        <w:jc w:val="both"/>
      </w:pPr>
      <w:r>
        <w:rPr>
          <w:rFonts w:ascii="Times New Roman"/>
          <w:b w:val="false"/>
          <w:i w:val="false"/>
          <w:color w:val="000000"/>
          <w:sz w:val="28"/>
        </w:rPr>
        <w:t xml:space="preserve">      3.1. За исключением особых случаев, согласованных с Банком, закупка требуемых для выполнения мероприятий услуг консультантов и товаров, которые будут финансироваться из средств Гранта, должна осуществляться согласно положениям Дополнения I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Деятельности, всегда осуществлялась с использованием надлежащих методов и чтобы любой ремонт или обновление таких объектов проводились оперативно по мере необходимости.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Снятие средств Гранта со счета </w:t>
      </w:r>
    </w:p>
    <w:bookmarkEnd w:id="6"/>
    <w:p>
      <w:pPr>
        <w:spacing w:after="0"/>
        <w:ind w:left="0"/>
        <w:jc w:val="both"/>
      </w:pPr>
      <w:r>
        <w:rPr>
          <w:rFonts w:ascii="Times New Roman"/>
          <w:b w:val="false"/>
          <w:i w:val="false"/>
          <w:color w:val="000000"/>
          <w:sz w:val="28"/>
        </w:rPr>
        <w:t xml:space="preserve">      4.1. Средства Гранта будут внесены на счет, открытый Банком за его счет на имя Получателя (Грантовый счет), и могут сниматься с него Получателем в соответствии с условиями настоящего раздела 4 для расходов на услуги, по разумной цене, необходимые для осуществления мероприятий, финансируемых из средств Гранта. </w:t>
      </w:r>
      <w:r>
        <w:br/>
      </w:r>
      <w:r>
        <w:rPr>
          <w:rFonts w:ascii="Times New Roman"/>
          <w:b w:val="false"/>
          <w:i w:val="false"/>
          <w:color w:val="000000"/>
          <w:sz w:val="28"/>
        </w:rPr>
        <w:t xml:space="preserve">
      4.2. Таблица ниже устанавливает Категории расходов для финансирования из средств Гранта, выделение средств Гранта по каждой категории, а также процент расходов по видам, финансируемых в каждой Категории: </w:t>
      </w:r>
    </w:p>
    <w:p>
      <w:pPr>
        <w:spacing w:after="0"/>
        <w:ind w:left="0"/>
        <w:jc w:val="both"/>
      </w:pPr>
      <w:r>
        <w:rPr>
          <w:rFonts w:ascii="Times New Roman"/>
          <w:b w:val="false"/>
          <w:i w:val="false"/>
          <w:color w:val="000000"/>
          <w:sz w:val="28"/>
        </w:rPr>
        <w:t xml:space="preserve">Категория расходов       Размер выделяемых   % от финансируемых </w:t>
      </w:r>
      <w:r>
        <w:br/>
      </w:r>
      <w:r>
        <w:rPr>
          <w:rFonts w:ascii="Times New Roman"/>
          <w:b w:val="false"/>
          <w:i w:val="false"/>
          <w:color w:val="000000"/>
          <w:sz w:val="28"/>
        </w:rPr>
        <w:t xml:space="preserve">
                          средств Гранта          расходов </w:t>
      </w:r>
      <w:r>
        <w:br/>
      </w:r>
      <w:r>
        <w:rPr>
          <w:rFonts w:ascii="Times New Roman"/>
          <w:b w:val="false"/>
          <w:i w:val="false"/>
          <w:color w:val="000000"/>
          <w:sz w:val="28"/>
        </w:rPr>
        <w:t xml:space="preserve">
                         (в долларах США) </w:t>
      </w:r>
    </w:p>
    <w:p>
      <w:pPr>
        <w:spacing w:after="0"/>
        <w:ind w:left="0"/>
        <w:jc w:val="both"/>
      </w:pPr>
      <w:r>
        <w:rPr>
          <w:rFonts w:ascii="Times New Roman"/>
          <w:b w:val="false"/>
          <w:i w:val="false"/>
          <w:color w:val="000000"/>
          <w:sz w:val="28"/>
        </w:rPr>
        <w:t xml:space="preserve">Услуги консультантов,        630 800                 100% </w:t>
      </w:r>
      <w:r>
        <w:br/>
      </w:r>
      <w:r>
        <w:rPr>
          <w:rFonts w:ascii="Times New Roman"/>
          <w:b w:val="false"/>
          <w:i w:val="false"/>
          <w:color w:val="000000"/>
          <w:sz w:val="28"/>
        </w:rPr>
        <w:t xml:space="preserve">
включая аудит </w:t>
      </w:r>
    </w:p>
    <w:p>
      <w:pPr>
        <w:spacing w:after="0"/>
        <w:ind w:left="0"/>
        <w:jc w:val="both"/>
      </w:pPr>
      <w:r>
        <w:rPr>
          <w:rFonts w:ascii="Times New Roman"/>
          <w:b w:val="false"/>
          <w:i w:val="false"/>
          <w:color w:val="000000"/>
          <w:sz w:val="28"/>
        </w:rPr>
        <w:t xml:space="preserve">Семинары                      12 750                 100% </w:t>
      </w:r>
    </w:p>
    <w:p>
      <w:pPr>
        <w:spacing w:after="0"/>
        <w:ind w:left="0"/>
        <w:jc w:val="both"/>
      </w:pPr>
      <w:r>
        <w:rPr>
          <w:rFonts w:ascii="Times New Roman"/>
          <w:b w:val="false"/>
          <w:i w:val="false"/>
          <w:color w:val="000000"/>
          <w:sz w:val="28"/>
        </w:rPr>
        <w:t xml:space="preserve">Товары                        12 500            100% расходов в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100% расходов в </w:t>
      </w:r>
      <w:r>
        <w:br/>
      </w:r>
      <w:r>
        <w:rPr>
          <w:rFonts w:ascii="Times New Roman"/>
          <w:b w:val="false"/>
          <w:i w:val="false"/>
          <w:color w:val="000000"/>
          <w:sz w:val="28"/>
        </w:rPr>
        <w:t xml:space="preserve">
                                                 местной валюте </w:t>
      </w:r>
      <w:r>
        <w:br/>
      </w:r>
      <w:r>
        <w:rPr>
          <w:rFonts w:ascii="Times New Roman"/>
          <w:b w:val="false"/>
          <w:i w:val="false"/>
          <w:color w:val="000000"/>
          <w:sz w:val="28"/>
        </w:rPr>
        <w:t xml:space="preserve">
                                               (стоимость франко- </w:t>
      </w:r>
      <w:r>
        <w:br/>
      </w:r>
      <w:r>
        <w:rPr>
          <w:rFonts w:ascii="Times New Roman"/>
          <w:b w:val="false"/>
          <w:i w:val="false"/>
          <w:color w:val="000000"/>
          <w:sz w:val="28"/>
        </w:rPr>
        <w:t xml:space="preserve">
                                                 завод) и 85 % </w:t>
      </w:r>
      <w:r>
        <w:br/>
      </w:r>
      <w:r>
        <w:rPr>
          <w:rFonts w:ascii="Times New Roman"/>
          <w:b w:val="false"/>
          <w:i w:val="false"/>
          <w:color w:val="000000"/>
          <w:sz w:val="28"/>
        </w:rPr>
        <w:t xml:space="preserve">
                                               расходов в местной </w:t>
      </w:r>
      <w:r>
        <w:br/>
      </w:r>
      <w:r>
        <w:rPr>
          <w:rFonts w:ascii="Times New Roman"/>
          <w:b w:val="false"/>
          <w:i w:val="false"/>
          <w:color w:val="000000"/>
          <w:sz w:val="28"/>
        </w:rPr>
        <w:t xml:space="preserve">
                                                валюте на другие </w:t>
      </w:r>
      <w:r>
        <w:br/>
      </w:r>
      <w:r>
        <w:rPr>
          <w:rFonts w:ascii="Times New Roman"/>
          <w:b w:val="false"/>
          <w:i w:val="false"/>
          <w:color w:val="000000"/>
          <w:sz w:val="28"/>
        </w:rPr>
        <w:t xml:space="preserve">
                                                статьи в рамках </w:t>
      </w:r>
      <w:r>
        <w:br/>
      </w:r>
      <w:r>
        <w:rPr>
          <w:rFonts w:ascii="Times New Roman"/>
          <w:b w:val="false"/>
          <w:i w:val="false"/>
          <w:color w:val="000000"/>
          <w:sz w:val="28"/>
        </w:rPr>
        <w:t xml:space="preserve">
                                                   закупок на </w:t>
      </w:r>
      <w:r>
        <w:br/>
      </w:r>
      <w:r>
        <w:rPr>
          <w:rFonts w:ascii="Times New Roman"/>
          <w:b w:val="false"/>
          <w:i w:val="false"/>
          <w:color w:val="000000"/>
          <w:sz w:val="28"/>
        </w:rPr>
        <w:t xml:space="preserve">
                                                 внутреннем рынке </w:t>
      </w:r>
    </w:p>
    <w:p>
      <w:pPr>
        <w:spacing w:after="0"/>
        <w:ind w:left="0"/>
        <w:jc w:val="both"/>
      </w:pPr>
      <w:r>
        <w:rPr>
          <w:rFonts w:ascii="Times New Roman"/>
          <w:b w:val="false"/>
          <w:i w:val="false"/>
          <w:color w:val="000000"/>
          <w:sz w:val="28"/>
        </w:rPr>
        <w:t xml:space="preserve">Операционные расходы          24 000                  85% </w:t>
      </w:r>
    </w:p>
    <w:p>
      <w:pPr>
        <w:spacing w:after="0"/>
        <w:ind w:left="0"/>
        <w:jc w:val="both"/>
      </w:pPr>
      <w:r>
        <w:rPr>
          <w:rFonts w:ascii="Times New Roman"/>
          <w:b w:val="false"/>
          <w:i w:val="false"/>
          <w:color w:val="000000"/>
          <w:sz w:val="28"/>
        </w:rPr>
        <w:t xml:space="preserve">Всего                        680 050 </w:t>
      </w:r>
    </w:p>
    <w:p>
      <w:pPr>
        <w:spacing w:after="0"/>
        <w:ind w:left="0"/>
        <w:jc w:val="both"/>
      </w:pPr>
      <w:r>
        <w:rPr>
          <w:rFonts w:ascii="Times New Roman"/>
          <w:b w:val="false"/>
          <w:i w:val="false"/>
          <w:color w:val="000000"/>
          <w:sz w:val="28"/>
        </w:rPr>
        <w:t xml:space="preserve">      Для целей данного пункта термин: </w:t>
      </w:r>
      <w:r>
        <w:br/>
      </w:r>
      <w:r>
        <w:rPr>
          <w:rFonts w:ascii="Times New Roman"/>
          <w:b w:val="false"/>
          <w:i w:val="false"/>
          <w:color w:val="000000"/>
          <w:sz w:val="28"/>
        </w:rPr>
        <w:t xml:space="preserve">
      а)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а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такой валюте на данные товары и услуги будут рассматриваться как расходы в иностранной валюте; </w:t>
      </w:r>
      <w:r>
        <w:br/>
      </w:r>
      <w:r>
        <w:rPr>
          <w:rFonts w:ascii="Times New Roman"/>
          <w:b w:val="false"/>
          <w:i w:val="false"/>
          <w:color w:val="000000"/>
          <w:sz w:val="28"/>
        </w:rPr>
        <w:t xml:space="preserve">
      б) "Семинары" означает семинары, проводимые заинтересованными лицами с участием местных исполнительных органов, фермеров, и местных бизнесменов для определения потребностей сельского населения в консультационных услугах, предоставляемых в рамках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в) "Операционные расходы" означает накладные расходы, понесенные в результате реализации и управления гранта, включая офисные приборы и связь; а также операционные расходы, понесенные Центром во время своего первоначального периода операций, включая </w:t>
      </w:r>
      <w:r>
        <w:br/>
      </w:r>
      <w:r>
        <w:rPr>
          <w:rFonts w:ascii="Times New Roman"/>
          <w:b w:val="false"/>
          <w:i w:val="false"/>
          <w:color w:val="000000"/>
          <w:sz w:val="28"/>
        </w:rPr>
        <w:t xml:space="preserve">
офисные принадлежности, подготовка, перевод, публикации и распространение технической помощи и информационных материалов и другие разумные и необходимые мероприятия, напрямую относящиеся к подготовке, управлению и мониторингу Проекта, на которые может быть получено согласие Банка. </w:t>
      </w:r>
      <w:r>
        <w:br/>
      </w:r>
      <w:r>
        <w:rPr>
          <w:rFonts w:ascii="Times New Roman"/>
          <w:b w:val="false"/>
          <w:i w:val="false"/>
          <w:color w:val="000000"/>
          <w:sz w:val="28"/>
        </w:rPr>
        <w:t xml:space="preserve">
      4.3. Вопреки условиям приведенного выше пункта 4.2: </w:t>
      </w:r>
      <w:r>
        <w:br/>
      </w:r>
      <w:r>
        <w:rPr>
          <w:rFonts w:ascii="Times New Roman"/>
          <w:b w:val="false"/>
          <w:i w:val="false"/>
          <w:color w:val="000000"/>
          <w:sz w:val="28"/>
        </w:rPr>
        <w:t xml:space="preserve">
      (а) не разрешается снимать средства со счета Гранта: (1) на выплаты по расходам, произведенным до даты подписания этого Письма-Соглашения Банком; (2) на оплату любых налогов, взимаемых Получателем или на территории Получателя; (3) на расходы, понесенные </w:t>
      </w:r>
      <w:r>
        <w:br/>
      </w:r>
      <w:r>
        <w:rPr>
          <w:rFonts w:ascii="Times New Roman"/>
          <w:b w:val="false"/>
          <w:i w:val="false"/>
          <w:color w:val="000000"/>
          <w:sz w:val="28"/>
        </w:rPr>
        <w:t xml:space="preserve">
на территории любой страны, не являющейся членом Банка, или на товары, произведенные на данных территориях или услуги, предоставленные ими; или (4) с целью выплаты физическим или юридическим лицам, если такие выплаты, по мнению Банка, запрещены решением Совета Безопасности Организации Объединенных Наций согласно главе VII Устава Организации Объединенных Наций; </w:t>
      </w:r>
      <w:r>
        <w:br/>
      </w:r>
      <w:r>
        <w:rPr>
          <w:rFonts w:ascii="Times New Roman"/>
          <w:b w:val="false"/>
          <w:i w:val="false"/>
          <w:color w:val="000000"/>
          <w:sz w:val="28"/>
        </w:rPr>
        <w:t xml:space="preserve">
      б) средства со счета не снимаются после 30 марта 2004 года или более поздней даты (Дата закрытия), установленной Банком в письменном уведомлении Получателю, исключая особые обстоятельства, когда Дата закрытия может быть отложена на срок, выходящий за </w:t>
      </w:r>
      <w:r>
        <w:br/>
      </w:r>
      <w:r>
        <w:rPr>
          <w:rFonts w:ascii="Times New Roman"/>
          <w:b w:val="false"/>
          <w:i w:val="false"/>
          <w:color w:val="000000"/>
          <w:sz w:val="28"/>
        </w:rPr>
        <w:t xml:space="preserve">
пределы даты первоначального утверждения Банком финансирования Проекта. Тем не менее, средства со счета могут быть сняты после Даты закрытия для оплаты расходов, произведенных до Даты закрытия в том случае, если соответствующая заявка получена Банком в течение </w:t>
      </w:r>
      <w:r>
        <w:br/>
      </w:r>
      <w:r>
        <w:rPr>
          <w:rFonts w:ascii="Times New Roman"/>
          <w:b w:val="false"/>
          <w:i w:val="false"/>
          <w:color w:val="000000"/>
          <w:sz w:val="28"/>
        </w:rPr>
        <w:t xml:space="preserve">
четырех месяцев после Даты закрытия, по истечении которых любая сумма неиспользованных средств Гранта на грантовом счету аннулируется; </w:t>
      </w:r>
      <w:r>
        <w:br/>
      </w:r>
      <w:r>
        <w:rPr>
          <w:rFonts w:ascii="Times New Roman"/>
          <w:b w:val="false"/>
          <w:i w:val="false"/>
          <w:color w:val="000000"/>
          <w:sz w:val="28"/>
        </w:rPr>
        <w:t xml:space="preserve">
      (в)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Когда Получатель пожелает снять определенную сумму средств со счета Гранта, он должен отправить в Банк письменную заявку на снятие данной суммы в форме, установленной Банком. Заявки на снятие должны быть: (а) подписаны от имени Получателя Министром финансов или другим уполномоченным им в письменном виде лицом; и (б) сопровождаться, по обоснованной просьбе Банка, подтверждением поддержки заявки. Заверенные образцы подписей лица, уполномоченного подписывать заявки на снятие средств, должны быть представлены с </w:t>
      </w:r>
      <w:r>
        <w:br/>
      </w:r>
      <w:r>
        <w:rPr>
          <w:rFonts w:ascii="Times New Roman"/>
          <w:b w:val="false"/>
          <w:i w:val="false"/>
          <w:color w:val="000000"/>
          <w:sz w:val="28"/>
        </w:rPr>
        <w:t xml:space="preserve">
первой заявкой, содержащей его или ее подпись. Каждая заявка на снятие средств Гранта и подтверждение ее поддержки должны быть достаточны по форме и содержанию для убеждения Банка в том, что Получатель имеет право на снятие данного количества средств, которые будут использоваться на проведение Мероприятий. Банк выплачивает средства, снимаемые Получателем, со счета Гранта только Получателю или по его заявке.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стоимостью менее эквивалента 50 000 долларов США; (б) услуги индивидуальных консультантов стоимостью менее эквивалента 20 000 долларов США; и (в) поставку товаров; (г) обучение и семинары; и (д) операционные расходы; причем все это осуществляется в соответствии с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Для облегчения выполнения Мероприятий Получатель может открыть и содержать специальный депозитный счет в долларах США (Специальный счет) в коммерческом банке Республики Казахстан на условиях и положениях, удовлетворяющих Банк, включая соответствующую защиту от разорения, конфискации или наложения ареста. Вклады на Специальный Счет и выплаты должны производиться в соответствии с положениями Дополнения II к данному Приложению.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 Отчеты и аудит </w:t>
      </w:r>
    </w:p>
    <w:bookmarkEnd w:id="7"/>
    <w:p>
      <w:pPr>
        <w:spacing w:after="0"/>
        <w:ind w:left="0"/>
        <w:jc w:val="both"/>
      </w:pPr>
      <w:r>
        <w:rPr>
          <w:rFonts w:ascii="Times New Roman"/>
          <w:b w:val="false"/>
          <w:i w:val="false"/>
          <w:color w:val="000000"/>
          <w:sz w:val="28"/>
        </w:rPr>
        <w:t xml:space="preserve">      5.1. (а) получатель будет вести или мотивировать ведение системы финансового менеджмента, включая записи и отчеты, и готовить официальные финансовые отчеты в приемлемой для Банка форме, адекватно отражающие, в соответствии с четким бухучетом, операции, ресурсы и расходы, связанные с Мероприятиями. </w:t>
      </w:r>
      <w:r>
        <w:br/>
      </w:r>
      <w:r>
        <w:rPr>
          <w:rFonts w:ascii="Times New Roman"/>
          <w:b w:val="false"/>
          <w:i w:val="false"/>
          <w:color w:val="000000"/>
          <w:sz w:val="28"/>
        </w:rPr>
        <w:t xml:space="preserve">
      (б) получатель должен: (1) каждый финансовый год подвергать аудиту записи, счета и финансовые отчеты, о которых говорится в подпункте (а) выше, а также записи и отчеты по Специальному Счету в соответствии с аудиторскими стандартами, приемлемыми для Банка и постоянно применяемыми. Аудит должен проводиться независимыми аудиторами, приемлемыми для Банка; (2) предоставлять Банку, по возможности в наиболее краткие сроки, но не позднее, чем через 6 месяцев после окончания каждого такого года, (А) заверенные копии официальных финансовых отчетов, указанных в пункте (а) данного раздела за каждый год, подвергшийся аудиту, и (Б) заключение по этим отчетам, записям и счетам и отчет об этом аудите, проведенном указанными аудиторами, в объеме и с подробностями, обоснованно затребованными Банком; и (3) время от времени предоставлять Банку другую информацию, касающуюся упомянутых записей и отчетов и их аудита, а также указанных аудиторов в ответ на обоснованные просьбы Банка. </w:t>
      </w:r>
      <w:r>
        <w:br/>
      </w:r>
      <w:r>
        <w:rPr>
          <w:rFonts w:ascii="Times New Roman"/>
          <w:b w:val="false"/>
          <w:i w:val="false"/>
          <w:color w:val="000000"/>
          <w:sz w:val="28"/>
        </w:rPr>
        <w:t xml:space="preserve">
      (в) для всех расходов, на которые производились снятия средства со счета Гранта на основании расходных ведомостей, Получатель должен: (1) вести или обеспечить ведение в соответствии с подпунктом (а) выше записей или отчетов, отражающих такие расходы; (2) хранить не менее одного года после получения Банком аудиторского отчета за финансовый год, в котором произведено последнее снятие средств со счета Гранта, все записи (контракты, приказы, счета, чеки и другие документы), подтверждающие эти расходы; (3) давать представителям Банка возможность проверять данные записи; и (4) обеспечить, чтобы эти записи и отчеты были включены в ежегодный аудит, о котором говорилось выше в подпункте (б) и такой аудиторский отчет содержал отдельное заключение упомянутых аудиторов относительно того, насколько надежны сведения в расходных ведомостях, предоставленных в течение финансового года, а также порядок и внутренний контроль при их подготовке, для подтверждения правомочности снятия средств.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 Приостановка и прекращение </w:t>
      </w:r>
    </w:p>
    <w:bookmarkEnd w:id="8"/>
    <w:p>
      <w:pPr>
        <w:spacing w:after="0"/>
        <w:ind w:left="0"/>
        <w:jc w:val="both"/>
      </w:pPr>
      <w:r>
        <w:rPr>
          <w:rFonts w:ascii="Times New Roman"/>
          <w:b w:val="false"/>
          <w:i w:val="false"/>
          <w:color w:val="000000"/>
          <w:sz w:val="28"/>
        </w:rPr>
        <w:t xml:space="preserve">      6.1. Банк может в любое время, уведомив Получателя, приостановить право Получателя на дальнейшее снятие денег со Счета Гранта, если произойдет и будет продолжаться следующее: (а) неисполнение Получателем любых из изложенных здесь обязательств; или (б) приостановление права Получателя или любой другой организации, которой Банк предоставил заем под гарантию Республики Казахстан, на снятие средств по любому Банковскому соглашению о займе или любому соглашению о кредите на развитие с Международной Ассоциацией развития. </w:t>
      </w:r>
      <w:r>
        <w:br/>
      </w:r>
      <w:r>
        <w:rPr>
          <w:rFonts w:ascii="Times New Roman"/>
          <w:b w:val="false"/>
          <w:i w:val="false"/>
          <w:color w:val="000000"/>
          <w:sz w:val="28"/>
        </w:rPr>
        <w:t xml:space="preserve">
      6.2. Банк может, письменно уведомив Получателя, лишить Получателя права на дальнейшее снятие средств со Счета Гранта: (а) в любое время после того, как право Получателя на снятие средств со Счета Гранта приостановлено по причинам, изложенным выше в параграфе 6.1; или (б) если Получатель не предпринял действий, удовлетворяющих Банк, по выполнению Мероприятий, в течение шести месяцев после фактической даты их начала; или (в) если Банк решил, в любое время, после консультации с Получателем, прекратить свою поддержку данного Проекта; или (г) если Получатель отозвал свою просьбу о помощи Банка в финансировании Проекта.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I </w:t>
      </w:r>
    </w:p>
    <w:bookmarkEnd w:id="9"/>
    <w:p>
      <w:pPr>
        <w:spacing w:after="0"/>
        <w:ind w:left="0"/>
        <w:jc w:val="left"/>
      </w:pPr>
      <w:r>
        <w:rPr>
          <w:rFonts w:ascii="Times New Roman"/>
          <w:b/>
          <w:i w:val="false"/>
          <w:color w:val="000000"/>
        </w:rPr>
        <w:t xml:space="preserve"> Закупки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Услуги консультантов </w:t>
      </w:r>
    </w:p>
    <w:bookmarkEnd w:id="10"/>
    <w:bookmarkStart w:name="z12" w:id="11"/>
    <w:p>
      <w:pPr>
        <w:spacing w:after="0"/>
        <w:ind w:left="0"/>
        <w:jc w:val="both"/>
      </w:pPr>
      <w:r>
        <w:rPr>
          <w:rFonts w:ascii="Times New Roman"/>
          <w:b w:val="false"/>
          <w:i w:val="false"/>
          <w:color w:val="000000"/>
          <w:sz w:val="28"/>
        </w:rPr>
        <w:t xml:space="preserve">
      Часть А: Общие положения </w:t>
      </w:r>
    </w:p>
    <w:bookmarkEnd w:id="11"/>
    <w:p>
      <w:pPr>
        <w:spacing w:after="0"/>
        <w:ind w:left="0"/>
        <w:jc w:val="both"/>
      </w:pPr>
      <w:r>
        <w:rPr>
          <w:rFonts w:ascii="Times New Roman"/>
          <w:b w:val="false"/>
          <w:i w:val="false"/>
          <w:color w:val="000000"/>
          <w:sz w:val="28"/>
        </w:rPr>
        <w:t xml:space="preserve">      Услуги консультантов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по консультантам, Приложением 2 к Руководству по консультантам и следующими положениями настоящего раздела. </w:t>
      </w:r>
    </w:p>
    <w:bookmarkStart w:name="z13" w:id="12"/>
    <w:p>
      <w:pPr>
        <w:spacing w:after="0"/>
        <w:ind w:left="0"/>
        <w:jc w:val="both"/>
      </w:pPr>
      <w:r>
        <w:rPr>
          <w:rFonts w:ascii="Times New Roman"/>
          <w:b w:val="false"/>
          <w:i w:val="false"/>
          <w:color w:val="000000"/>
          <w:sz w:val="28"/>
        </w:rPr>
        <w:t xml:space="preserve">
      Часть Б: Отбор по качеству и стоимости </w:t>
      </w:r>
    </w:p>
    <w:bookmarkEnd w:id="12"/>
    <w:p>
      <w:pPr>
        <w:spacing w:after="0"/>
        <w:ind w:left="0"/>
        <w:jc w:val="both"/>
      </w:pPr>
      <w:r>
        <w:rPr>
          <w:rFonts w:ascii="Times New Roman"/>
          <w:b w:val="false"/>
          <w:i w:val="false"/>
          <w:color w:val="000000"/>
          <w:sz w:val="28"/>
        </w:rPr>
        <w:t xml:space="preserve">      1. За исключением иных положений Части В настоящего раздела, услуги консультантов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которые распространяются на случаи отбора консультантов по качеству и стоимости. </w:t>
      </w:r>
    </w:p>
    <w:bookmarkStart w:name="z14" w:id="13"/>
    <w:p>
      <w:pPr>
        <w:spacing w:after="0"/>
        <w:ind w:left="0"/>
        <w:jc w:val="both"/>
      </w:pPr>
      <w:r>
        <w:rPr>
          <w:rFonts w:ascii="Times New Roman"/>
          <w:b w:val="false"/>
          <w:i w:val="false"/>
          <w:color w:val="000000"/>
          <w:sz w:val="28"/>
        </w:rPr>
        <w:t xml:space="preserve">
      Часть В: Прочие процедуры для отбора Консультантов </w:t>
      </w:r>
    </w:p>
    <w:bookmarkEnd w:id="13"/>
    <w:p>
      <w:pPr>
        <w:spacing w:after="0"/>
        <w:ind w:left="0"/>
        <w:jc w:val="both"/>
      </w:pPr>
      <w:r>
        <w:rPr>
          <w:rFonts w:ascii="Times New Roman"/>
          <w:b w:val="false"/>
          <w:i w:val="false"/>
          <w:color w:val="000000"/>
          <w:sz w:val="28"/>
        </w:rPr>
        <w:t xml:space="preserve">      1. Отбор по качеству </w:t>
      </w:r>
      <w:r>
        <w:br/>
      </w:r>
      <w:r>
        <w:rPr>
          <w:rFonts w:ascii="Times New Roman"/>
          <w:b w:val="false"/>
          <w:i w:val="false"/>
          <w:color w:val="000000"/>
          <w:sz w:val="28"/>
        </w:rPr>
        <w:t xml:space="preserve">
      Услуги по подготовке компонента по институциональному развитию в рамках пункта 1.1 (г) Приложения могут закупаться в рамках контрактов, присуждаемых в соответствии с положениями пунктов 3.1-3.4 Руководства по консультантам. </w:t>
      </w:r>
    </w:p>
    <w:p>
      <w:pPr>
        <w:spacing w:after="0"/>
        <w:ind w:left="0"/>
        <w:jc w:val="both"/>
      </w:pPr>
      <w:r>
        <w:rPr>
          <w:rFonts w:ascii="Times New Roman"/>
          <w:b w:val="false"/>
          <w:i w:val="false"/>
          <w:color w:val="000000"/>
          <w:sz w:val="28"/>
        </w:rPr>
        <w:t xml:space="preserve">      2. Отбор по принципу минимальной стоимости </w:t>
      </w:r>
      <w:r>
        <w:br/>
      </w:r>
      <w:r>
        <w:rPr>
          <w:rFonts w:ascii="Times New Roman"/>
          <w:b w:val="false"/>
          <w:i w:val="false"/>
          <w:color w:val="000000"/>
          <w:sz w:val="28"/>
        </w:rPr>
        <w:t xml:space="preserve">
      Услуги по финансовому аудиту в рамках пункта 1.1 (д) Приложения, ориентировочная стоимость которых составляет менее 200000 долларов США, могут закупаться в рамках контрактов, присуждаемых в соответствии с положениями пунктов 3.1 и 3.6 Руководства по консультантам. </w:t>
      </w:r>
    </w:p>
    <w:p>
      <w:pPr>
        <w:spacing w:after="0"/>
        <w:ind w:left="0"/>
        <w:jc w:val="both"/>
      </w:pPr>
      <w:r>
        <w:rPr>
          <w:rFonts w:ascii="Times New Roman"/>
          <w:b w:val="false"/>
          <w:i w:val="false"/>
          <w:color w:val="000000"/>
          <w:sz w:val="28"/>
        </w:rPr>
        <w:t xml:space="preserve">      3. Отбор на основе квалификации консультантов </w:t>
      </w:r>
      <w:r>
        <w:br/>
      </w:r>
      <w:r>
        <w:rPr>
          <w:rFonts w:ascii="Times New Roman"/>
          <w:b w:val="false"/>
          <w:i w:val="false"/>
          <w:color w:val="000000"/>
          <w:sz w:val="28"/>
        </w:rPr>
        <w:t xml:space="preserve">
      Услуги по подготовке компонента по сельской кредитной линии в рамках пункта 1.1 (а), компонента по микрофинансированию в рамках пункта 1.1 (б) и компонента по консультациям в рамках пункта 1.1 (в) Приложения, ориентировочная стоимость которых составляет менее 100 000 долларов США в расчете на один контракт, могут закупаться в рамках контрактов, присуждаемых в соответствии с положениями пунктов 3.1 и 3.7 Руководства по консультантам. </w:t>
      </w:r>
    </w:p>
    <w:p>
      <w:pPr>
        <w:spacing w:after="0"/>
        <w:ind w:left="0"/>
        <w:jc w:val="both"/>
      </w:pPr>
      <w:r>
        <w:rPr>
          <w:rFonts w:ascii="Times New Roman"/>
          <w:b w:val="false"/>
          <w:i w:val="false"/>
          <w:color w:val="000000"/>
          <w:sz w:val="28"/>
        </w:rPr>
        <w:t xml:space="preserve">      4. Индивидуальные консультанты </w:t>
      </w:r>
      <w:r>
        <w:br/>
      </w:r>
      <w:r>
        <w:rPr>
          <w:rFonts w:ascii="Times New Roman"/>
          <w:b w:val="false"/>
          <w:i w:val="false"/>
          <w:color w:val="000000"/>
          <w:sz w:val="28"/>
        </w:rPr>
        <w:t xml:space="preserve">
      Услуги индивидуальных консультантов по: (а) финансовому управлению в рамках пункта 1.1 (б), управлению проектом, социальной оценке и оценке окружающей среды, оказанию помощи в подготовке проекта и переводу в рамках пункта 1.1 (д) Приложения закупаются по контрактам, присуждаемым в соответствии с положениями пунктов 5.1-5.3 Руководства по консультантам; и (б) координатор проекта в рамках пункта 1.1 (д) Приложения может быть выбран при наличии единственной фирмы-претендента в соответствии с положениями пунктов 5.3 и 5.4 Руководства по консультантам при наличии одобрения со стороны Банка. </w:t>
      </w:r>
    </w:p>
    <w:bookmarkStart w:name="z15" w:id="14"/>
    <w:p>
      <w:pPr>
        <w:spacing w:after="0"/>
        <w:ind w:left="0"/>
        <w:jc w:val="both"/>
      </w:pPr>
      <w:r>
        <w:rPr>
          <w:rFonts w:ascii="Times New Roman"/>
          <w:b w:val="false"/>
          <w:i w:val="false"/>
          <w:color w:val="000000"/>
          <w:sz w:val="28"/>
        </w:rPr>
        <w:t xml:space="preserve">
      Часть Г: Рассмотрение Банком отбора консультантов </w:t>
      </w:r>
    </w:p>
    <w:bookmarkEnd w:id="14"/>
    <w:p>
      <w:pPr>
        <w:spacing w:after="0"/>
        <w:ind w:left="0"/>
        <w:jc w:val="both"/>
      </w:pPr>
      <w:r>
        <w:rPr>
          <w:rFonts w:ascii="Times New Roman"/>
          <w:b w:val="false"/>
          <w:i w:val="false"/>
          <w:color w:val="000000"/>
          <w:sz w:val="28"/>
        </w:rPr>
        <w:t xml:space="preserve">      1. Планирование отбора </w:t>
      </w:r>
      <w:r>
        <w:br/>
      </w:r>
      <w:r>
        <w:rPr>
          <w:rFonts w:ascii="Times New Roman"/>
          <w:b w:val="false"/>
          <w:i w:val="false"/>
          <w:color w:val="000000"/>
          <w:sz w:val="28"/>
        </w:rPr>
        <w:t xml:space="preserve">
      До направления консультантам каких-либо приглашений к участию в торгах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Этот план должен уточняться раз в 6 месяцев на протяжении всего периода осуществления Мероприятий и каждый уточненный вариант должен направляться на рассмотрение и утверждение Банка.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p>
      <w:pPr>
        <w:spacing w:after="0"/>
        <w:ind w:left="0"/>
        <w:jc w:val="both"/>
      </w:pP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в отношении каждого контракта, предусматривающего наем консультационных фирм, ориентировочная стоимость которых эквивалентна 50 000 долларам США или выше,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(б) в отношении каждого контракта, предусматривающего наем индивидуальных консультантов, ориентировочная стоимость услуг которых эквивалентна 20 000 долларам США или выше, и консультанта, выбираемого при наличии одной фирмы-претендента,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p>
      <w:pPr>
        <w:spacing w:after="0"/>
        <w:ind w:left="0"/>
        <w:jc w:val="both"/>
      </w:pP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На каждый контракт, который не регулируется положениями пункта 2 настоящей Части, распространяются процедуры, изложенные в пункте 4 Приложения 1 к Руководству по консультантам.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Закупка товаров </w:t>
      </w:r>
    </w:p>
    <w:bookmarkEnd w:id="15"/>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опубликованного Банком в январе 1995 г. и пересматривавшегося в январе и августе 1996 г., сентябре 1997 г. и январе 1999 г. (Руководство); и (б)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слово "предложений" в этом пункте читается как "расценок".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II </w:t>
      </w:r>
    </w:p>
    <w:bookmarkEnd w:id="16"/>
    <w:p>
      <w:pPr>
        <w:spacing w:after="0"/>
        <w:ind w:left="0"/>
        <w:jc w:val="left"/>
      </w:pPr>
      <w:r>
        <w:rPr>
          <w:rFonts w:ascii="Times New Roman"/>
          <w:b/>
          <w:i w:val="false"/>
          <w:color w:val="000000"/>
        </w:rPr>
        <w:t xml:space="preserve"> Специальный счет </w:t>
      </w:r>
    </w:p>
    <w:p>
      <w:pPr>
        <w:spacing w:after="0"/>
        <w:ind w:left="0"/>
        <w:jc w:val="both"/>
      </w:pP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(а) термин "правомочные статьи" означает статьи, указанные в таблице пункта 4.2 Приложения к настоящему Письму-соглашению; </w:t>
      </w:r>
      <w:r>
        <w:br/>
      </w:r>
      <w:r>
        <w:rPr>
          <w:rFonts w:ascii="Times New Roman"/>
          <w:b w:val="false"/>
          <w:i w:val="false"/>
          <w:color w:val="000000"/>
          <w:sz w:val="28"/>
        </w:rPr>
        <w:t xml:space="preserve">
      (б) термин "правомочные расходы" означает расходы на оплату обоснованной стоимости товаров и услуг, необходимых для осуществления Мероприятий и подлежащих финансированию из средств Гранта; и </w:t>
      </w:r>
      <w:r>
        <w:br/>
      </w:r>
      <w:r>
        <w:rPr>
          <w:rFonts w:ascii="Times New Roman"/>
          <w:b w:val="false"/>
          <w:i w:val="false"/>
          <w:color w:val="000000"/>
          <w:sz w:val="28"/>
        </w:rPr>
        <w:t xml:space="preserve">
      (в) термин "Санкционированное отчисление" означает сумму, эквивалентную 75000 долларам США, которая должна быть снята со Счета Гранта и внесена на Специальный счет в соответствии с пунктом 3 (а) настоящего Дополнения. </w:t>
      </w:r>
      <w:r>
        <w:br/>
      </w:r>
      <w:r>
        <w:rPr>
          <w:rFonts w:ascii="Times New Roman"/>
          <w:b w:val="false"/>
          <w:i w:val="false"/>
          <w:color w:val="000000"/>
          <w:sz w:val="28"/>
        </w:rPr>
        <w:t xml:space="preserve">
      2. Выплаты со Специального счета производятся исключительно для финансирования правомочных расходов в соответствии с положениями настоящего Дополнения. </w:t>
      </w:r>
      <w:r>
        <w:br/>
      </w: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(а) получатель направляет в Банк заявку или заявки на внесение на Специальный счет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(б) (1)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(2)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будет выплачена со Специального счета для оплаты приемлемых расходов. Все внесенные таким образом средства снимаются Банком со Счета Гранта в рамках правомочных статей и в соответствующих эквивалентных суммах, подтвержденных вышеуказанными и иными документами. </w:t>
      </w:r>
      <w:r>
        <w:br/>
      </w: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правомочных расходов. </w:t>
      </w:r>
      <w:r>
        <w:br/>
      </w: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(а)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(б) если Получатель не представит в Банк в течение срока, установленного в подпункте (2) пункта 5.1 (б)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(в)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(г) как только общая сумма снятых средств Гранта сравняется с эквивалентом двукратного Санкционированного отчисления.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правомочных расходов. </w:t>
      </w:r>
      <w:r>
        <w:br/>
      </w:r>
      <w:r>
        <w:rPr>
          <w:rFonts w:ascii="Times New Roman"/>
          <w:b w:val="false"/>
          <w:i w:val="false"/>
          <w:color w:val="000000"/>
          <w:sz w:val="28"/>
        </w:rPr>
        <w:t xml:space="preserve">
      6. (а) Если Банк на каком-то этапе решит, что какой-либо платеж со Специального счета: (1) был произведен для покрытия расходов или суммы, не являющихся приемлемыми согласно пункту 2 настоящего Дополнения; или (2)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(Б) внести на Специальный счет (или, по просьбе Банка, вернуть Банку) сумму, равную сумме такого платежа или той его части, которая не является правомочной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(б)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p>
      <w:pPr>
        <w:spacing w:after="0"/>
        <w:ind w:left="0"/>
        <w:jc w:val="both"/>
      </w:pPr>
      <w:r>
        <w:rPr>
          <w:rFonts w:ascii="Times New Roman"/>
          <w:b w:val="false"/>
          <w:i w:val="false"/>
          <w:color w:val="000000"/>
          <w:sz w:val="28"/>
        </w:rPr>
        <w:t xml:space="preserve">      Настоящим удостоверяю аутентичность перевода данного текста с английского на русский язык. </w:t>
      </w:r>
    </w:p>
    <w:p>
      <w:pPr>
        <w:spacing w:after="0"/>
        <w:ind w:left="0"/>
        <w:jc w:val="both"/>
      </w:pPr>
      <w:r>
        <w:rPr>
          <w:rFonts w:ascii="Times New Roman"/>
          <w:b w:val="false"/>
          <w:i/>
          <w:color w:val="000000"/>
          <w:sz w:val="28"/>
        </w:rPr>
        <w:t xml:space="preserve">      Вице-Министр </w:t>
      </w:r>
      <w:r>
        <w:br/>
      </w:r>
      <w:r>
        <w:rPr>
          <w:rFonts w:ascii="Times New Roman"/>
          <w:b w:val="false"/>
          <w:i w:val="false"/>
          <w:color w:val="000000"/>
          <w:sz w:val="28"/>
        </w:rPr>
        <w:t>
</w:t>
      </w:r>
      <w:r>
        <w:rPr>
          <w:rFonts w:ascii="Times New Roman"/>
          <w:b w:val="false"/>
          <w:i/>
          <w:color w:val="000000"/>
          <w:sz w:val="28"/>
        </w:rPr>
        <w:t xml:space="preserve">      сельского хозяйства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