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43b" w14:textId="5331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
деятельности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2004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деятельности средств массовой информации".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дополнений и изменений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деятельности средств массовой информации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г, N 18, ст. 336; N 22, ст. 408; 2001 г., N 1, ст. 7; N 8, ст. 52; N 17-18, ст. 240; N 24, ст. 338; 2002 г., N 2, ст. 17; N 10, ст. 102; 2003 г., N 1-2, ст. 3; N 11, ст. 56, 57, 66; N 15, ст. 139;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октября 2003 г. "О внесении изменения в Гражданский кодекс Республики Казахстан (Общая часть)", опубликованный в газетах "Егемен Казахстан" и "Казахстанская правда" 18 октября 2003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143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Исковые требования, вытекающие из положений настоящей статьи, могут быть заявлены в суд не позднее одного года с момента распространения в средствах массовой информации сведений, не соответствующих действительности, порочащих честь, достоинство или деловую репутацию гражданина или юридического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последнее предложение пункта 2 статьи 145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"Такого согласия не требуется, если это установлено законодательными актами либо изображенное лицо занимает публичную должность и изображено при проведении публичных мероприятий или позировало за плату.".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г. "О внесении изменений и дополнений в Кодекс Республики Казахстан об административных правонарушениях", опубликованный в газетах "Егемен Казахстан" 12 декабря 2003 г. и "Казахстанская правда" 10 декабря 2003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статьи 342 после слова "языках"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а равно неравномерное распределение передач на государственном языке в суточной сетке вещания в течение всего периода их выхода в эфир".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г. "О языках в Республике Казахстан" (Ведомости Парламента Республики Казахстан, 1997 г., N 13-14, ст. 202):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создания необходимой языковой среды и полноценного функционирования государственного языка еженедельный объем телевизионных и радиопередач средств массовой информации на государственном языке по времени не должен быть менее суммарного объема передач на других языках. Распределение передач на государственном языке в суточной сетке вещания должно осуществляться равномерно в течение всего периода их выхода в эфир.".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