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143b" w14:textId="5331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
деятельности средств массовой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2004 года N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деятельности средств массовой информации".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дополнений и изменений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деятельности средств массовой информации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дополнения и изменения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8; N 5, ст. 55; N 12, ст. 183, 184; N 13-14, ст. 195, 205; 1998 г., N 2-3, ст. 23; N 5-6, ст. 50; N 11-12, ст. 178; N 17-18, ст. 224, 225; N 23, ст. 429; 1999 г., N 20, ст. 727, 731; N 23, ст. 916; 2000 г, N 18, ст. 336; N 22, ст. 408; 2001 г., N 1, ст. 7; N 8, ст. 52; N 17-18, ст. 240; N 24, ст. 338; 2002 г., N 2, ст. 17; N 10, ст. 102; 2003 г., N 1-2, ст. 3; N 11, ст. 56, 57, 66; N 15, ст. 139;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октября 2003 г. "О внесении изменения в Гражданский кодекс Республики Казахстан (Общая часть)", опубликованный в газетах "Егемен Казахстан" и "Казахстанская правда" 18 октября 2003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143 дополнить пунктом 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Исковые требования, вытекающие из положений настоящей статьи, могут быть заявлены в суд не позднее одного года с момента распространения в средствах массовой информации сведений, не соответствующих действительности, порочащих честь, достоинство или деловую репутацию гражданина или юридического лица.";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последнее предложение пункта 2 статьи 145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"Такого согласия не требуется, если это установлено законодательными актами либо изображенное лицо занимает публичную должность и изображено при проведении публичных мероприятий или позировало за плату.".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г. "О внесении изменений и дополнений в Кодекс Республики Казахстан об административных правонарушениях", опубликованный в газетах "Егемен Казахстан" 12 декабря 2003 г. и "Казахстанская правда" 10 декабря 2003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второй статьи 342 после слова "языках" дополнить словами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", а равно неравномерное распределение передач на государственном языке в суточной сетке вещания в течение всего периода их выхода в эфир".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г. "О языках в Республике Казахстан" (Ведомости Парламента Республики Казахстан, 1997 г., N 13-14, ст. 202):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статьи 18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создания необходимой языковой среды и полноценного функционирования государственного языка еженедельный объем телевизионных и радиопередач средств массовой информации на государственном языке по времени не должен быть менее суммарного объема передач на других языках. Распределение передач на государственном языке в суточной сетке вещания должно осуществляться равномерно в течение всего периода их выхода в эфир.".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