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41ce" w14:textId="3da4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2003 года N 150в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  бюджетных программ на 2003 год"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614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слова "программы:" дополнить словами "приобретение компьютеров, принтеров, автотранспорта, квартир для судей местных судов;";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графу 5 "Мероприятия по реализации программ (подпрограмм)"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компьютеров в количестве 215 шт.; принтеров в количестве 205 шт.; автотранспорта в количестве 109 единиц, в том числе с объемом двигателя от 1600 до 2000 куб. см. - 72 ед., от 2000 до 2500 куб.см - 35 ед., свыше 2500 куб. см - 2 ед.; 70 квартир для судей местных судов. Проведение капитального ремонта 60 зданий и помещений.".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