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baa8" w14:textId="2aab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
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2003 года N 150е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2002 года N 1429 "Об утверждении паспортов республиканских бюджетных программ на 2003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326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"Мероприятия по реализации программы (подпрограммы)" таблицы пункта 6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электронных весов для осуществления экспертных исследований.";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334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"Мероприятия по реализации программы (подпрограммы)" таблицы пункта 6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"Создание постоянных рубрик по правовой тематике в периодических печатных изданиях, подготовка теле- и радиопрограмм;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разработка и выпуск рекламно-имиджевых роликов правового содержания. Подготовка и выпуск учебных пособий, программ, методических пособий и разработок по правовым дисциплинам.".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