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3bee" w14:textId="2a73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марта 2003 года N 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2003 года N 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марта 2003 года N 259 "О некоторых вопросах кредитования и субсидирования агропромышленного сектора"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субсидирования ставки вознаграждения (интереса) по кредитам, выдаваемым банками второго уровня предприятиям по переработке сельскохозяйственной продукции на пополнение их оборотных средств,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Сумма субсидирования, предоставляемая из республиканского бюджета, составляет до 80 % от процентной ставки кредита, выдаваемого Банком Заемщику. При этом доля субсидируемой части процентной ставки кредита должна быть равной для всех Заемщиков.";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с первого по десятый пункта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Средства для субсидирования процентной ставки Администратор программы распределяет по кредитам, выдаваемым Банками Заемщикам по следующим подотраслям (лотам):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переработка мяса;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переработка молока;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переработка кожсырья и шерсти;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переработка плодов, ягод, овощей и производство плодоовощных консервов, детского питания;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переработка масличных культур и производство растительного масла".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9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