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3bee" w14:textId="2a7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2003 года N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2003 года N 259 "О некоторых вопросах кредитования и субсидирования агропромышленного сектора"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Сумма субсидирования, предоставляемая из республиканского бюджета, составляет до 80 % от процентной ставки кредита, выдаваемого Банком Заемщику. При этом доля субсидируемой части процентной ставки кредита должна быть равной для всех Заемщиков.";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 первого по десятый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Средства для субсидирования процентной ставки Администратор программы распределяет по кредитам, выдаваемым Банками Заемщикам по следующим подотраслям (лотам):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переработка мяса;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переработка молока;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переработка кожсырья и шерсти;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переработка плодов, ягод, овощей и производство плодоовощных консервов, детского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переработка масличных культур и производство растительного масла".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