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bb3b" w14:textId="d3eb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2003 года N 917</w:t>
      </w:r>
    </w:p>
    <w:p>
      <w:pPr>
        <w:spacing w:after="0"/>
        <w:ind w:left="0"/>
        <w:jc w:val="both"/>
      </w:pPr>
      <w:r>
        <w:rPr>
          <w:rFonts w:ascii="Times New Roman"/>
          <w:b w:val="false"/>
          <w:i w:val="false"/>
          <w:color w:val="000000"/>
          <w:sz w:val="28"/>
        </w:rPr>
        <w:t xml:space="preserve">      В целях реализации мероприятий по сохранению лесов и увеличению лесистости территории республики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(далее - Соглашение). </w:t>
      </w:r>
      <w:r>
        <w:br/>
      </w:r>
      <w:r>
        <w:rPr>
          <w:rFonts w:ascii="Times New Roman"/>
          <w:b w:val="false"/>
          <w:i w:val="false"/>
          <w:color w:val="000000"/>
          <w:sz w:val="28"/>
        </w:rPr>
        <w:t xml:space="preserve">
      2. Уполномочить Есимова Ахметжана Смагуловича - Заместителя Премьер-Министра Республики Казахстан - Министра сельского хозяйства Республики Казахстан заключить от имени Республики Казахстан указанное Соглашение.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r>
        <w:br/>
      </w:r>
      <w:r>
        <w:rPr>
          <w:rFonts w:ascii="Times New Roman"/>
          <w:b w:val="false"/>
          <w:i w:val="false"/>
          <w:color w:val="000000"/>
          <w:sz w:val="28"/>
        </w:rPr>
        <w:t xml:space="preserve">
29 апреля 2003 года </w:t>
      </w:r>
    </w:p>
    <w:p>
      <w:pPr>
        <w:spacing w:after="0"/>
        <w:ind w:left="0"/>
        <w:jc w:val="both"/>
      </w:pPr>
      <w:r>
        <w:rPr>
          <w:rFonts w:ascii="Times New Roman"/>
          <w:b w:val="false"/>
          <w:i w:val="false"/>
          <w:color w:val="000000"/>
          <w:sz w:val="28"/>
        </w:rPr>
        <w:t xml:space="preserve">Г-ну Есимову А.С. </w:t>
      </w:r>
      <w:r>
        <w:br/>
      </w:r>
      <w:r>
        <w:rPr>
          <w:rFonts w:ascii="Times New Roman"/>
          <w:b w:val="false"/>
          <w:i w:val="false"/>
          <w:color w:val="000000"/>
          <w:sz w:val="28"/>
        </w:rPr>
        <w:t xml:space="preserve">
Заместителю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Министру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473000, Астана, Проспект Абая, 49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color w:val="000000"/>
          <w:sz w:val="28"/>
        </w:rPr>
        <w:t xml:space="preserve">Касательно Гранта Правительства Японии Республике Казахстан </w:t>
      </w:r>
      <w:r>
        <w:br/>
      </w:r>
      <w:r>
        <w:rPr>
          <w:rFonts w:ascii="Times New Roman"/>
          <w:b w:val="false"/>
          <w:i w:val="false"/>
          <w:color w:val="000000"/>
          <w:sz w:val="28"/>
        </w:rPr>
        <w:t>
</w:t>
      </w:r>
      <w:r>
        <w:rPr>
          <w:rFonts w:ascii="Times New Roman"/>
          <w:b w:val="false"/>
          <w:i/>
          <w:color w:val="000000"/>
          <w:sz w:val="28"/>
        </w:rPr>
        <w:t xml:space="preserve">на подготовку проекта "Сохранение лесов и увеличение </w:t>
      </w:r>
      <w:r>
        <w:br/>
      </w:r>
      <w:r>
        <w:rPr>
          <w:rFonts w:ascii="Times New Roman"/>
          <w:b w:val="false"/>
          <w:i w:val="false"/>
          <w:color w:val="000000"/>
          <w:sz w:val="28"/>
        </w:rPr>
        <w:t>
</w:t>
      </w:r>
      <w:r>
        <w:rPr>
          <w:rFonts w:ascii="Times New Roman"/>
          <w:b w:val="false"/>
          <w:i/>
          <w:color w:val="000000"/>
          <w:sz w:val="28"/>
        </w:rPr>
        <w:t xml:space="preserve">лесистости территории республики" </w:t>
      </w:r>
      <w:r>
        <w:br/>
      </w:r>
      <w:r>
        <w:rPr>
          <w:rFonts w:ascii="Times New Roman"/>
          <w:b w:val="false"/>
          <w:i w:val="false"/>
          <w:color w:val="000000"/>
          <w:sz w:val="28"/>
        </w:rPr>
        <w:t>
</w:t>
      </w:r>
      <w:r>
        <w:rPr>
          <w:rFonts w:ascii="Times New Roman"/>
          <w:b w:val="false"/>
          <w:i w:val="false"/>
          <w:color w:val="000000"/>
          <w:sz w:val="28"/>
          <w:u w:val="single"/>
        </w:rPr>
        <w:t xml:space="preserve">Грант TF 051351 </w:t>
      </w:r>
    </w:p>
    <w:p>
      <w:pPr>
        <w:spacing w:after="0"/>
        <w:ind w:left="0"/>
        <w:jc w:val="both"/>
      </w:pPr>
      <w:r>
        <w:rPr>
          <w:rFonts w:ascii="Times New Roman"/>
          <w:b w:val="false"/>
          <w:i w:val="false"/>
          <w:color w:val="000000"/>
          <w:sz w:val="28"/>
        </w:rPr>
        <w:t xml:space="preserve">Уважаемый г-н Есимов! </w:t>
      </w:r>
    </w:p>
    <w:p>
      <w:pPr>
        <w:spacing w:after="0"/>
        <w:ind w:left="0"/>
        <w:jc w:val="both"/>
      </w:pPr>
      <w:r>
        <w:rPr>
          <w:rFonts w:ascii="Times New Roman"/>
          <w:b w:val="false"/>
          <w:i w:val="false"/>
          <w:color w:val="000000"/>
          <w:sz w:val="28"/>
        </w:rPr>
        <w:t xml:space="preserve">      Обращаюсь к Вам от имени Международного Банка Реконструкции и Развития (Банк), чтобы сообщить о согласии Банка как распорядителя средств Гранта, выделенного Правительством Японии, предоставить Республике Казахстан (Получатель) Грант на сумму, не превышающую четыреста десять тысяч шестьсот (410.600) долларов США (Грант). </w:t>
      </w:r>
      <w:r>
        <w:br/>
      </w:r>
      <w:r>
        <w:rPr>
          <w:rFonts w:ascii="Times New Roman"/>
          <w:b w:val="false"/>
          <w:i w:val="false"/>
          <w:color w:val="000000"/>
          <w:sz w:val="28"/>
        </w:rPr>
        <w:t xml:space="preserve">
      Грант предоставляется в ответ на просьбу Получателя о финансовом содействии для целей и на условиях, изложенных в Приложении к настоящему Соглашению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(далее - Письмо-соглашение).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w:t>
      </w:r>
      <w:r>
        <w:br/>
      </w:r>
      <w:r>
        <w:rPr>
          <w:rFonts w:ascii="Times New Roman"/>
          <w:b w:val="false"/>
          <w:i w:val="false"/>
          <w:color w:val="000000"/>
          <w:sz w:val="28"/>
        </w:rPr>
        <w:t xml:space="preserve">
      Данное Письмо-соглашение вступает в силу на дату направления Банком Получателю уведомления о получении им копии Письма-соглашения, подписанного Вами, и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исполнено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Искренне ваш, </w:t>
      </w:r>
      <w:r>
        <w:br/>
      </w:r>
      <w:r>
        <w:rPr>
          <w:rFonts w:ascii="Times New Roman"/>
          <w:b w:val="false"/>
          <w:i w:val="false"/>
          <w:color w:val="000000"/>
          <w:sz w:val="28"/>
        </w:rPr>
        <w:t xml:space="preserve">
от имени </w:t>
      </w:r>
      <w:r>
        <w:br/>
      </w:r>
      <w:r>
        <w:rPr>
          <w:rFonts w:ascii="Times New Roman"/>
          <w:b w:val="false"/>
          <w:i w:val="false"/>
          <w:color w:val="000000"/>
          <w:sz w:val="28"/>
        </w:rPr>
        <w:t xml:space="preserve">
Международного Банка Реконструкции и развития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Кристофер Ловелас </w:t>
      </w:r>
      <w:r>
        <w:br/>
      </w:r>
      <w:r>
        <w:rPr>
          <w:rFonts w:ascii="Times New Roman"/>
          <w:b w:val="false"/>
          <w:i w:val="false"/>
          <w:color w:val="000000"/>
          <w:sz w:val="28"/>
        </w:rPr>
        <w:t xml:space="preserve">
Действующий Страновой Директор </w:t>
      </w:r>
      <w:r>
        <w:br/>
      </w:r>
      <w:r>
        <w:rPr>
          <w:rFonts w:ascii="Times New Roman"/>
          <w:b w:val="false"/>
          <w:i w:val="false"/>
          <w:color w:val="000000"/>
          <w:sz w:val="28"/>
        </w:rPr>
        <w:t xml:space="preserve">
Регионального отделения по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От имени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Подпись: ___________ </w:t>
      </w:r>
      <w:r>
        <w:br/>
      </w:r>
      <w:r>
        <w:rPr>
          <w:rFonts w:ascii="Times New Roman"/>
          <w:b w:val="false"/>
          <w:i w:val="false"/>
          <w:color w:val="000000"/>
          <w:sz w:val="28"/>
        </w:rPr>
        <w:t xml:space="preserve">
Ф.И.О.: ____________ </w:t>
      </w:r>
      <w:r>
        <w:br/>
      </w:r>
      <w:r>
        <w:rPr>
          <w:rFonts w:ascii="Times New Roman"/>
          <w:b w:val="false"/>
          <w:i w:val="false"/>
          <w:color w:val="000000"/>
          <w:sz w:val="28"/>
        </w:rPr>
        <w:t xml:space="preserve">
Должность:__________ </w:t>
      </w:r>
      <w:r>
        <w:br/>
      </w:r>
      <w:r>
        <w:rPr>
          <w:rFonts w:ascii="Times New Roman"/>
          <w:b w:val="false"/>
          <w:i w:val="false"/>
          <w:color w:val="000000"/>
          <w:sz w:val="28"/>
        </w:rPr>
        <w:t xml:space="preserve">
Дата: ______________ </w:t>
      </w:r>
    </w:p>
    <w:p>
      <w:pPr>
        <w:spacing w:after="0"/>
        <w:ind w:left="0"/>
        <w:jc w:val="both"/>
      </w:pPr>
      <w:r>
        <w:rPr>
          <w:rFonts w:ascii="Times New Roman"/>
          <w:b w:val="false"/>
          <w:i w:val="false"/>
          <w:color w:val="000000"/>
          <w:sz w:val="28"/>
          <w:u w:val="single"/>
        </w:rPr>
        <w:t xml:space="preserve">Приложение </w:t>
      </w:r>
    </w:p>
    <w:bookmarkStart w:name="z1" w:id="0"/>
    <w:p>
      <w:pPr>
        <w:spacing w:after="0"/>
        <w:ind w:left="0"/>
        <w:jc w:val="left"/>
      </w:pPr>
      <w:r>
        <w:rPr>
          <w:rFonts w:ascii="Times New Roman"/>
          <w:b/>
          <w:i w:val="false"/>
          <w:color w:val="000000"/>
        </w:rPr>
        <w:t xml:space="preserve"> 
Цели, сроки и условия Гранта </w:t>
      </w:r>
    </w:p>
    <w:bookmarkEnd w:id="0"/>
    <w:p>
      <w:pPr>
        <w:spacing w:after="0"/>
        <w:ind w:left="0"/>
        <w:jc w:val="both"/>
      </w:pPr>
      <w:r>
        <w:rPr>
          <w:rFonts w:ascii="Times New Roman"/>
          <w:b w:val="false"/>
          <w:i w:val="false"/>
          <w:color w:val="000000"/>
          <w:sz w:val="28"/>
          <w:u w:val="single"/>
        </w:rPr>
        <w:t xml:space="preserve">      1. Цели и деятельность </w:t>
      </w:r>
      <w:r>
        <w:br/>
      </w:r>
      <w:r>
        <w:rPr>
          <w:rFonts w:ascii="Times New Roman"/>
          <w:b w:val="false"/>
          <w:i w:val="false"/>
          <w:color w:val="000000"/>
          <w:sz w:val="28"/>
        </w:rPr>
        <w:t xml:space="preserve">
      1.1. Целью Гранта является оказание содействия в подготовке проекта "Сохранение лесов и увеличение лесистости территории республики", предусматривающего в качестве главной задачи улучшение управления лесами и увеличения доходов сельского населения в Казахстане (Проект). Грант выдается для осуществления следующих видов деятельности по подготовке Проекта (Деятельность): </w:t>
      </w:r>
      <w:r>
        <w:br/>
      </w:r>
      <w:r>
        <w:rPr>
          <w:rFonts w:ascii="Times New Roman"/>
          <w:b w:val="false"/>
          <w:i w:val="false"/>
          <w:color w:val="000000"/>
          <w:sz w:val="28"/>
        </w:rPr>
        <w:t xml:space="preserve">
      a) разработка плана реализации Проекта, включая (i) логическую структуру Проекта с индикаторами его результативности; (ii) подробное описание Проекта с таблицами смет расходов; (iii) определение подробной организационной схемы реализации; (iv) график реализации; (v) план закупок; (vi) план финансового управления и план финансирования; (vii) план мониторинга и оценки и (viii) проект Операционного руководства, и их обсуждение и согласование с заинтересованными сторонами, ориентировочная стоимость которых эквивалентна 96.100 долларам США; </w:t>
      </w:r>
      <w:r>
        <w:br/>
      </w:r>
      <w:r>
        <w:rPr>
          <w:rFonts w:ascii="Times New Roman"/>
          <w:b w:val="false"/>
          <w:i w:val="false"/>
          <w:color w:val="000000"/>
          <w:sz w:val="28"/>
        </w:rPr>
        <w:t xml:space="preserve">
      b) разработка механизмов по привлечению местного населения к лесохозяйственной деятельности, семинары и тренинга, ориентировочная стоимость которых эквивалентна 71.550 долларам США; </w:t>
      </w:r>
      <w:r>
        <w:br/>
      </w:r>
      <w:r>
        <w:rPr>
          <w:rFonts w:ascii="Times New Roman"/>
          <w:b w:val="false"/>
          <w:i w:val="false"/>
          <w:color w:val="000000"/>
          <w:sz w:val="28"/>
        </w:rPr>
        <w:t xml:space="preserve">
      c) экологическая экспертиза Проекта, включая подготовку оценки воздействия Проекта на окружающую среду и подробный план управления окружающей средой и консультации с общественностью по поводу методологии и результатов экологической экспертизы, ориентировочная стоимость которых эквивалентна 39.000 долларам США; </w:t>
      </w:r>
      <w:r>
        <w:br/>
      </w:r>
      <w:r>
        <w:rPr>
          <w:rFonts w:ascii="Times New Roman"/>
          <w:b w:val="false"/>
          <w:i w:val="false"/>
          <w:color w:val="000000"/>
          <w:sz w:val="28"/>
        </w:rPr>
        <w:t xml:space="preserve">
      d) анализ экономической и финансовой эффективности Проекта, ориентировочная стоимость эквивалентна 60.200 долларам США; </w:t>
      </w:r>
      <w:r>
        <w:br/>
      </w:r>
      <w:r>
        <w:rPr>
          <w:rFonts w:ascii="Times New Roman"/>
          <w:b w:val="false"/>
          <w:i w:val="false"/>
          <w:color w:val="000000"/>
          <w:sz w:val="28"/>
        </w:rPr>
        <w:t xml:space="preserve">
      e) социальная оценка Проекта, включая определение основных заинтересованных сторон Проекта, анализ их социально-экономических потребностей и вероятного влияния на них мероприятий Проекта и повышение уровня их доходов, и разработку плана участия заинтересованных сторон в реализации Проекта, ориентировочная стоимость эквивалентна 39.550 долларам США; </w:t>
      </w:r>
      <w:r>
        <w:br/>
      </w:r>
      <w:r>
        <w:rPr>
          <w:rFonts w:ascii="Times New Roman"/>
          <w:b w:val="false"/>
          <w:i w:val="false"/>
          <w:color w:val="000000"/>
          <w:sz w:val="28"/>
        </w:rPr>
        <w:t xml:space="preserve">
      f) оценка потребностей правовой и институциональной базы для внедрения моделей устойчивого управления лесами и пастбищами, ориентировочная стоимость эквивалентна 41.300 долларам США; </w:t>
      </w:r>
      <w:r>
        <w:br/>
      </w:r>
      <w:r>
        <w:rPr>
          <w:rFonts w:ascii="Times New Roman"/>
          <w:b w:val="false"/>
          <w:i w:val="false"/>
          <w:color w:val="000000"/>
          <w:sz w:val="28"/>
        </w:rPr>
        <w:t xml:space="preserve">
      g) укрепление административного и технического потенциала Получателя по управлению Грантом, включая его аудит, ориентировочная стоимость эквивалентна 62.900 долларам США. </w:t>
      </w:r>
    </w:p>
    <w:p>
      <w:pPr>
        <w:spacing w:after="0"/>
        <w:ind w:left="0"/>
        <w:jc w:val="both"/>
      </w:pPr>
      <w:r>
        <w:rPr>
          <w:rFonts w:ascii="Times New Roman"/>
          <w:b w:val="false"/>
          <w:i w:val="false"/>
          <w:color w:val="000000"/>
          <w:sz w:val="28"/>
          <w:u w:val="single"/>
        </w:rPr>
        <w:t xml:space="preserve">      2. Общие аспекты реализации </w:t>
      </w:r>
      <w:r>
        <w:br/>
      </w:r>
      <w:r>
        <w:rPr>
          <w:rFonts w:ascii="Times New Roman"/>
          <w:b w:val="false"/>
          <w:i w:val="false"/>
          <w:color w:val="000000"/>
          <w:sz w:val="28"/>
        </w:rPr>
        <w:t xml:space="preserve">
      2.1. Получатель, действуя через Министерство сельского хозяйства, должен: (а) добросовестно и эффективно осуществлять Деятельность; (b) оперативно предоставлять средства, объекты, услуги и прочие ресурсы, необходимые для этой цели; (с) предоставлять всю информацию, касающуюся Деятельности и использования средств Гранта, обоснованно запрошенную Банком; (d) периодически обмениваться мнениями с представителями Банка относительно хода осуществления и результатов Деятельности; и (е) принимать все необходимые меры для того, чтобы представители Банка могли посещать территорию Получателя для целей, связанных с реализацией Гранта. Без ограничения вышесказанного Получатель, по запросу Банка, после завершения Деятельности оперативно готовит и представляет в Банк отчет о результатах к последствиях Деятельности, который должен быть приемлем для Банка по форме и содержанию. </w:t>
      </w:r>
    </w:p>
    <w:p>
      <w:pPr>
        <w:spacing w:after="0"/>
        <w:ind w:left="0"/>
        <w:jc w:val="both"/>
      </w:pPr>
      <w:r>
        <w:rPr>
          <w:rFonts w:ascii="Times New Roman"/>
          <w:b w:val="false"/>
          <w:i w:val="false"/>
          <w:color w:val="000000"/>
          <w:sz w:val="28"/>
          <w:u w:val="single"/>
        </w:rPr>
        <w:t xml:space="preserve">      3. Закупки </w:t>
      </w:r>
      <w:r>
        <w:br/>
      </w:r>
      <w:r>
        <w:rPr>
          <w:rFonts w:ascii="Times New Roman"/>
          <w:b w:val="false"/>
          <w:i w:val="false"/>
          <w:color w:val="000000"/>
          <w:sz w:val="28"/>
        </w:rPr>
        <w:t xml:space="preserve">
      3.1. В отсутствие иных договоренностей с Банком закупки консультационных услуг и товаров, необходимых для выполнения Деятельности и подлежащих финансированию из средств Гранта, регулируются положениями Дополнения I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Деятельности, всегда осуществлялась с использованием надлежащих методов и чтобы любой ремонт или обновление таких объектов проводились оперативно по мере необходимости. </w:t>
      </w:r>
    </w:p>
    <w:p>
      <w:pPr>
        <w:spacing w:after="0"/>
        <w:ind w:left="0"/>
        <w:jc w:val="both"/>
      </w:pPr>
      <w:r>
        <w:rPr>
          <w:rFonts w:ascii="Times New Roman"/>
          <w:b w:val="false"/>
          <w:i w:val="false"/>
          <w:color w:val="000000"/>
          <w:sz w:val="28"/>
          <w:u w:val="single"/>
        </w:rPr>
        <w:t xml:space="preserve">      4. Снятие средств Гранта </w:t>
      </w:r>
      <w:r>
        <w:br/>
      </w:r>
      <w:r>
        <w:rPr>
          <w:rFonts w:ascii="Times New Roman"/>
          <w:b w:val="false"/>
          <w:i w:val="false"/>
          <w:color w:val="000000"/>
          <w:sz w:val="28"/>
        </w:rPr>
        <w:t xml:space="preserve">
      4.1. Средства Гранта зачисляются на счет, открытый Банком, в его учетных документах на имя Получателя (Счет Гранта), и могут сниматься с этого счета Получателем в соответствии с положениями настоящего Раздела 4 для оплаты обоснованной стоимости товаров и услуг, необходимых для выполнения Деятельности и подлежащих финансированию из средств Гранта. </w:t>
      </w:r>
      <w:r>
        <w:br/>
      </w:r>
      <w:r>
        <w:rPr>
          <w:rFonts w:ascii="Times New Roman"/>
          <w:b w:val="false"/>
          <w:i w:val="false"/>
          <w:color w:val="000000"/>
          <w:sz w:val="28"/>
        </w:rPr>
        <w:t xml:space="preserve">
      4.2. Расходы в рамках перечисленных далее статей могут финансироваться из средств Гранта и используются исключительно для выполнения Деятельности: </w:t>
      </w:r>
    </w:p>
    <w:p>
      <w:pPr>
        <w:spacing w:after="0"/>
        <w:ind w:left="0"/>
        <w:jc w:val="both"/>
      </w:pPr>
      <w:r>
        <w:rPr>
          <w:rFonts w:ascii="Times New Roman"/>
          <w:b w:val="false"/>
          <w:i w:val="false"/>
          <w:color w:val="000000"/>
          <w:sz w:val="28"/>
          <w:u w:val="single"/>
        </w:rPr>
        <w:t xml:space="preserve">      Категория </w:t>
      </w:r>
      <w:r>
        <w:rPr>
          <w:rFonts w:ascii="Times New Roman"/>
          <w:b w:val="false"/>
          <w:i w:val="false"/>
          <w:color w:val="000000"/>
          <w:sz w:val="28"/>
        </w:rPr>
        <w:t xml:space="preserve">           Сумма           % расходов, подлежащих </w:t>
      </w:r>
      <w:r>
        <w:br/>
      </w:r>
      <w:r>
        <w:rPr>
          <w:rFonts w:ascii="Times New Roman"/>
          <w:b w:val="false"/>
          <w:i w:val="false"/>
          <w:color w:val="000000"/>
          <w:sz w:val="28"/>
        </w:rPr>
        <w:t xml:space="preserve">
                          выделенных      </w:t>
      </w:r>
      <w:r>
        <w:rPr>
          <w:rFonts w:ascii="Times New Roman"/>
          <w:b w:val="false"/>
          <w:i w:val="false"/>
          <w:color w:val="000000"/>
          <w:sz w:val="28"/>
          <w:u w:val="single"/>
        </w:rPr>
        <w:t xml:space="preserve">финансированию из средств </w:t>
      </w:r>
      <w:r>
        <w:br/>
      </w:r>
      <w:r>
        <w:rPr>
          <w:rFonts w:ascii="Times New Roman"/>
          <w:b w:val="false"/>
          <w:i w:val="false"/>
          <w:color w:val="000000"/>
          <w:sz w:val="28"/>
        </w:rPr>
        <w:t xml:space="preserve">
                          средств Гранта  </w:t>
      </w:r>
      <w:r>
        <w:rPr>
          <w:rFonts w:ascii="Times New Roman"/>
          <w:b w:val="false"/>
          <w:i w:val="false"/>
          <w:color w:val="000000"/>
          <w:sz w:val="28"/>
          <w:u w:val="single"/>
        </w:rPr>
        <w:t xml:space="preserve">Гранта </w:t>
      </w:r>
      <w:r>
        <w:br/>
      </w:r>
      <w:r>
        <w:rPr>
          <w:rFonts w:ascii="Times New Roman"/>
          <w:b w:val="false"/>
          <w:i w:val="false"/>
          <w:color w:val="000000"/>
          <w:sz w:val="28"/>
        </w:rPr>
        <w:t>
</w:t>
      </w:r>
      <w:r>
        <w:rPr>
          <w:rFonts w:ascii="Times New Roman"/>
          <w:b w:val="false"/>
          <w:i w:val="false"/>
          <w:color w:val="000000"/>
          <w:sz w:val="28"/>
          <w:u w:val="single"/>
        </w:rPr>
        <w:t xml:space="preserve">                          (в долл. США) </w:t>
      </w:r>
    </w:p>
    <w:p>
      <w:pPr>
        <w:spacing w:after="0"/>
        <w:ind w:left="0"/>
        <w:jc w:val="both"/>
      </w:pPr>
      <w:r>
        <w:rPr>
          <w:rFonts w:ascii="Times New Roman"/>
          <w:b w:val="false"/>
          <w:i w:val="false"/>
          <w:color w:val="000000"/>
          <w:sz w:val="28"/>
        </w:rPr>
        <w:t xml:space="preserve">(1) Консультационные      389.900         100 % </w:t>
      </w:r>
      <w:r>
        <w:br/>
      </w:r>
      <w:r>
        <w:rPr>
          <w:rFonts w:ascii="Times New Roman"/>
          <w:b w:val="false"/>
          <w:i w:val="false"/>
          <w:color w:val="000000"/>
          <w:sz w:val="28"/>
        </w:rPr>
        <w:t xml:space="preserve">
    услуги, включая </w:t>
      </w:r>
      <w:r>
        <w:br/>
      </w:r>
      <w:r>
        <w:rPr>
          <w:rFonts w:ascii="Times New Roman"/>
          <w:b w:val="false"/>
          <w:i w:val="false"/>
          <w:color w:val="000000"/>
          <w:sz w:val="28"/>
        </w:rPr>
        <w:t xml:space="preserve">
    аудит </w:t>
      </w:r>
      <w:r>
        <w:br/>
      </w:r>
      <w:r>
        <w:rPr>
          <w:rFonts w:ascii="Times New Roman"/>
          <w:b w:val="false"/>
          <w:i w:val="false"/>
          <w:color w:val="000000"/>
          <w:sz w:val="28"/>
        </w:rPr>
        <w:t xml:space="preserve">
(2) Обучение и </w:t>
      </w:r>
      <w:r>
        <w:br/>
      </w:r>
      <w:r>
        <w:rPr>
          <w:rFonts w:ascii="Times New Roman"/>
          <w:b w:val="false"/>
          <w:i w:val="false"/>
          <w:color w:val="000000"/>
          <w:sz w:val="28"/>
        </w:rPr>
        <w:t xml:space="preserve">
    семинары              13.200          100 % </w:t>
      </w:r>
    </w:p>
    <w:p>
      <w:pPr>
        <w:spacing w:after="0"/>
        <w:ind w:left="0"/>
        <w:jc w:val="both"/>
      </w:pPr>
      <w:r>
        <w:rPr>
          <w:rFonts w:ascii="Times New Roman"/>
          <w:b w:val="false"/>
          <w:i w:val="false"/>
          <w:color w:val="000000"/>
          <w:sz w:val="28"/>
        </w:rPr>
        <w:t xml:space="preserve">(3) Товары                 7.500          100 % расходов в </w:t>
      </w:r>
      <w:r>
        <w:br/>
      </w:r>
      <w:r>
        <w:rPr>
          <w:rFonts w:ascii="Times New Roman"/>
          <w:b w:val="false"/>
          <w:i w:val="false"/>
          <w:color w:val="000000"/>
          <w:sz w:val="28"/>
        </w:rPr>
        <w:t xml:space="preserve">
                                          иностранной валюте, 100 % </w:t>
      </w:r>
      <w:r>
        <w:br/>
      </w:r>
      <w:r>
        <w:rPr>
          <w:rFonts w:ascii="Times New Roman"/>
          <w:b w:val="false"/>
          <w:i w:val="false"/>
          <w:color w:val="000000"/>
          <w:sz w:val="28"/>
        </w:rPr>
        <w:t xml:space="preserve">
                                          расходов в местной валюте </w:t>
      </w:r>
      <w:r>
        <w:br/>
      </w:r>
      <w:r>
        <w:rPr>
          <w:rFonts w:ascii="Times New Roman"/>
          <w:b w:val="false"/>
          <w:i w:val="false"/>
          <w:color w:val="000000"/>
          <w:sz w:val="28"/>
        </w:rPr>
        <w:t xml:space="preserve">
                                          (стоимость франко-завод) </w:t>
      </w:r>
      <w:r>
        <w:br/>
      </w:r>
      <w:r>
        <w:rPr>
          <w:rFonts w:ascii="Times New Roman"/>
          <w:b w:val="false"/>
          <w:i w:val="false"/>
          <w:color w:val="000000"/>
          <w:sz w:val="28"/>
        </w:rPr>
        <w:t xml:space="preserve">
                                          и 80 % расходов в местной </w:t>
      </w:r>
      <w:r>
        <w:br/>
      </w:r>
      <w:r>
        <w:rPr>
          <w:rFonts w:ascii="Times New Roman"/>
          <w:b w:val="false"/>
          <w:i w:val="false"/>
          <w:color w:val="000000"/>
          <w:sz w:val="28"/>
        </w:rPr>
        <w:t xml:space="preserve">
                                          валюте на другие статьи в </w:t>
      </w:r>
      <w:r>
        <w:br/>
      </w:r>
      <w:r>
        <w:rPr>
          <w:rFonts w:ascii="Times New Roman"/>
          <w:b w:val="false"/>
          <w:i w:val="false"/>
          <w:color w:val="000000"/>
          <w:sz w:val="28"/>
        </w:rPr>
        <w:t xml:space="preserve">
                                          рамках закупок на </w:t>
      </w:r>
      <w:r>
        <w:br/>
      </w:r>
      <w:r>
        <w:rPr>
          <w:rFonts w:ascii="Times New Roman"/>
          <w:b w:val="false"/>
          <w:i w:val="false"/>
          <w:color w:val="000000"/>
          <w:sz w:val="28"/>
        </w:rPr>
        <w:t xml:space="preserve">
                                          внутреннем рынке </w:t>
      </w:r>
      <w:r>
        <w:br/>
      </w:r>
      <w:r>
        <w:rPr>
          <w:rFonts w:ascii="Times New Roman"/>
          <w:b w:val="false"/>
          <w:i w:val="false"/>
          <w:color w:val="000000"/>
          <w:sz w:val="28"/>
        </w:rPr>
        <w:t xml:space="preserve">
    Итого                </w:t>
      </w:r>
      <w:r>
        <w:rPr>
          <w:rFonts w:ascii="Times New Roman"/>
          <w:b w:val="false"/>
          <w:i w:val="false"/>
          <w:color w:val="000000"/>
          <w:sz w:val="28"/>
          <w:u w:val="single"/>
        </w:rPr>
        <w:t xml:space="preserve">410.600 </w:t>
      </w:r>
    </w:p>
    <w:p>
      <w:pPr>
        <w:spacing w:after="0"/>
        <w:ind w:left="0"/>
        <w:jc w:val="both"/>
      </w:pPr>
      <w:r>
        <w:rPr>
          <w:rFonts w:ascii="Times New Roman"/>
          <w:b w:val="false"/>
          <w:i w:val="false"/>
          <w:color w:val="000000"/>
          <w:sz w:val="28"/>
        </w:rPr>
        <w:t xml:space="preserve">      Для целей данного пункта термин а)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б)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такой валюте на данные товары и услуги будут рассматриваться как расходы в иностранной валюте; и в) термин "Семинары и тренинг" означает общественные консультативные совещания по плану реализации Проекта, а также по оценке его экологического и социального </w:t>
      </w:r>
      <w:r>
        <w:br/>
      </w:r>
      <w:r>
        <w:rPr>
          <w:rFonts w:ascii="Times New Roman"/>
          <w:b w:val="false"/>
          <w:i w:val="false"/>
          <w:color w:val="000000"/>
          <w:sz w:val="28"/>
        </w:rPr>
        <w:t xml:space="preserve">
влияния, а также тренинг сотрудников Получателя, участвующих в управлении проектом. </w:t>
      </w:r>
      <w:r>
        <w:br/>
      </w:r>
      <w:r>
        <w:rPr>
          <w:rFonts w:ascii="Times New Roman"/>
          <w:b w:val="false"/>
          <w:i w:val="false"/>
          <w:color w:val="000000"/>
          <w:sz w:val="28"/>
        </w:rPr>
        <w:t xml:space="preserve">
      4.3. Несмотря на положения пункта 4.2: </w:t>
      </w:r>
      <w:r>
        <w:br/>
      </w:r>
      <w:r>
        <w:rPr>
          <w:rFonts w:ascii="Times New Roman"/>
          <w:b w:val="false"/>
          <w:i w:val="false"/>
          <w:color w:val="000000"/>
          <w:sz w:val="28"/>
        </w:rPr>
        <w:t xml:space="preserve">
      (а) средства со Счета Гранта не могут сниматься: (i) для оплаты расходов, произведенных до даты подписания настоящего Письма-соглашения Банком; (ii) для оплаты каких-либо налогов, взимаемых Получателем или на территории Получателя; (iii) для финансирования расходов на территории какой-либо страны, не являющейся членом Банка, или для оплаты товаров, произведенные на территории такой страны, или услуг, предоставляемых с территории такой страны; или (iv) для осуществления каких-либо платежей физическим и юридическим лицам или для финансирования импорта товаров, если такие платежи или импорт, насколько это известно Банку, запрещены решением Совета Безопасности ООН, принятым в соответствии с Главой VII Устава Организации Объединенных Наций; </w:t>
      </w:r>
      <w:r>
        <w:br/>
      </w:r>
      <w:r>
        <w:rPr>
          <w:rFonts w:ascii="Times New Roman"/>
          <w:b w:val="false"/>
          <w:i w:val="false"/>
          <w:color w:val="000000"/>
          <w:sz w:val="28"/>
        </w:rPr>
        <w:t xml:space="preserve">
      (b) средства со Счета Гранта не могут сниматься после 18 июля 2006 года или более поздней даты, которую Банк укажет в письменном уведомлении Получателю (Дата закрытия), при условии, что, за исключением особых обстоятельств, Дата закрытия не будет перенесена таким образом, что она наступит позднее предполагаемой даты утверждения Банком средств финансирования Проекта. Однако средства Гранта могут сниматься после наступления Даты закрытия для оплаты расходов, произведенных до наступления Даты закрытия, если соответствующая заявка на снятие средств будет получена Банком в течение четырех месяцев после наступления Даты закрытия, после чего любая сумма Гранта, оставшаяся неснятой со Счета Гранта, будет аннулирована; и </w:t>
      </w:r>
      <w:r>
        <w:br/>
      </w:r>
      <w:r>
        <w:rPr>
          <w:rFonts w:ascii="Times New Roman"/>
          <w:b w:val="false"/>
          <w:i w:val="false"/>
          <w:color w:val="000000"/>
          <w:sz w:val="28"/>
        </w:rPr>
        <w:t xml:space="preserve">
      (c)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Если Получатель захочет снять со Счета Гранта какую-либо сумму средств, он должен подать в Банк письменную заявку на снятие этой суммы по форме, указанной Банком. Заявки на снятие средств: (а) подписываются от имени Получателя Министром сельского хозяйства Республики Казахстан или иным лицом, получившим от него на это письменные полномочия; и (b) сопровождаются подтверждающими документами, обоснованно затребованными Банком. Заверенные образцы подписи лица, уполномоченного подписывать заявки на снятие средств, представляются вместе с первой заявкой, на которой стоит его или ее подпись. Каждая заявка на снятие определенной суммы Гранта и подтверждающая ее документация должна быть достаточной по форме и содержанию, чтобы убедить Банк в том, что Получатель имеет право на снятие этой суммы со Счета Гранта и что эта сумма будет использована для осуществления Деятельности. Банк выплачивает суммы, снимаемые Получателем со Счета Гранта, только самому Получателю или по его поручению.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стоимостью менее эквивалентной 50.000 долларам США; (b) услуги индивидуальных консультантов, стоимостью менее эквивалентной 25.000 долларам США; и (с) поставку товаров, и (d) семинаров и тренингов, причем все это осуществляется в соответствии с положениями и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В целях содействия осуществлению Деятельности Получатель может открыть и вести специальный депозитный счет в долларах США (Специальный счет) в банке и на условиях, удовлетворительных для Банка, включая надлежащую защиту этого счета от взаимозачетов, ареста или присоединения. Вклады на Специальный счет и выплаты со Специального счета производятся в соответствии с положениями Дополнения II к настоящему Приложению. </w:t>
      </w:r>
    </w:p>
    <w:p>
      <w:pPr>
        <w:spacing w:after="0"/>
        <w:ind w:left="0"/>
        <w:jc w:val="both"/>
      </w:pPr>
      <w:r>
        <w:rPr>
          <w:rFonts w:ascii="Times New Roman"/>
          <w:b w:val="false"/>
          <w:i w:val="false"/>
          <w:color w:val="000000"/>
          <w:sz w:val="28"/>
          <w:u w:val="single"/>
        </w:rPr>
        <w:t xml:space="preserve">      5. Бухгалтерские счета и аудит </w:t>
      </w:r>
      <w:r>
        <w:br/>
      </w:r>
      <w:r>
        <w:rPr>
          <w:rFonts w:ascii="Times New Roman"/>
          <w:b w:val="false"/>
          <w:i w:val="false"/>
          <w:color w:val="000000"/>
          <w:sz w:val="28"/>
        </w:rPr>
        <w:t xml:space="preserve">
      5.1. (а) Получатель поддерживает или обеспечивает поддержку системы финансового управления, включая учетные документы и бухгалтерские счета, и готовит финансовые отчеты по форме, приемлемой для Банка, которые должным образом отражают операции, ресурсы и расходы, связанные с осуществлением Деятельности, в соответствии с надлежащей практикой бухгалтерского учета. </w:t>
      </w:r>
      <w:r>
        <w:br/>
      </w:r>
      <w:r>
        <w:rPr>
          <w:rFonts w:ascii="Times New Roman"/>
          <w:b w:val="false"/>
          <w:i w:val="false"/>
          <w:color w:val="000000"/>
          <w:sz w:val="28"/>
        </w:rPr>
        <w:t xml:space="preserve">
      (b) Получатель должен: (i) обеспечить проведение аудиторской проверки за каждый финансовый год учетных документов, бухгалтерских счетов и финансовых отчетов, указанные в подпункте (а) выше, а также учетных документов и бухгалтерских счетов, относящихся к Специальному счету, независимыми аудиторами, приемлемыми для Банка, в соответствии с последовательно применяемыми стандартами аудита, приемлемыми для Банка; (ii) предоставлять Банку сразу же после подготовки, но в любом случае не позднее, чем через шесть месяцев после окончания каждого года: (А) заверенные копии финансовых отчетов, упомянутых в подпункте (а) данного раздела, за каждый год, прошедший аудиторскую проверку, и (В) заключение вышеуказанных аудиторов по этим отчетам, учетным документам и бухгалтерским счетам, а также аудиторский отчет, объем и степень детализации которого обоснованно определены Банком; и (iii) представлять в Банк, по его обоснованным периодическим запросам, прочие сведения, касающиеся этих учетных документов, бухгалтерских счетов и их аудиторской проверки, а также вышеуказанных аудиторов. </w:t>
      </w:r>
      <w:r>
        <w:br/>
      </w:r>
      <w:r>
        <w:rPr>
          <w:rFonts w:ascii="Times New Roman"/>
          <w:b w:val="false"/>
          <w:i w:val="false"/>
          <w:color w:val="000000"/>
          <w:sz w:val="28"/>
        </w:rPr>
        <w:t xml:space="preserve">
      (c) По всем расходам, для финансирования которых средства со Счета Гранта снимались на основании расходных ведомостей, Получатель должен: (i) вести или обеспечить ведение в соответствии с подпунктом (а) данного раздела учетные документы и бухгалтерские счета, отражающие эти расходы; (ii) хранить, как минимум, в течение одного года после получения Банком аудиторского отчета за финансовый год, в котором было произведено последнее снятие средств со Счета Гранта, все учетные документы (контракты, заказы, счета-фактуры, счета, квитанции и другие документы), подтверждающие эти расходы; (iii) обеспечить представителям Банка возможность проверки этих учетных документов; и (iv) принять меры к тому, чтобы эти учетные документы и бухгалтерские счета проходили ежегодную аудиторскую проверку, упомянутую в подпункте (b) данного раздела, и чтобы отчет о такой аудиторской проверке содержал отдельное заключение вышеуказанных аудиторов относительно того, являются ли расходные ведомости, представленные в течение такого финансового года, а также процедуры и механизмы внутреннего контроля, применявшиеся в процессе их подготовки, достаточным основанием для соответствующего снятия средств. </w:t>
      </w:r>
    </w:p>
    <w:p>
      <w:pPr>
        <w:spacing w:after="0"/>
        <w:ind w:left="0"/>
        <w:jc w:val="both"/>
      </w:pPr>
      <w:r>
        <w:rPr>
          <w:rFonts w:ascii="Times New Roman"/>
          <w:b w:val="false"/>
          <w:i w:val="false"/>
          <w:color w:val="000000"/>
          <w:sz w:val="28"/>
          <w:u w:val="single"/>
        </w:rPr>
        <w:t xml:space="preserve">      6. Приостановка и аннулирование прав </w:t>
      </w:r>
      <w:r>
        <w:br/>
      </w:r>
      <w:r>
        <w:rPr>
          <w:rFonts w:ascii="Times New Roman"/>
          <w:b w:val="false"/>
          <w:i w:val="false"/>
          <w:color w:val="000000"/>
          <w:sz w:val="28"/>
        </w:rPr>
        <w:t xml:space="preserve">
      6.1. Банк, направив Получателю соответствующее уведомление, может в любое время приостановить право Получателя на дальнейшее снятие средств со Счета Гранта, если произошло и продолжается какое-либо из нижеперечисленных событий: (а) Получатель не выполнил любое из своих обязательств, установленных в настоящем Письме-соглашении; или (b) право Получателя или любого иного лица, которому Банк предоставил заем под гарантию Республики Казахстан, на снятие средств в рамках какого-либо соглашения о займе с Банком или какого-либо соглашения о кредите развития с Международной ассоциацией развития было приостановлено. </w:t>
      </w:r>
      <w:r>
        <w:br/>
      </w:r>
      <w:r>
        <w:rPr>
          <w:rFonts w:ascii="Times New Roman"/>
          <w:b w:val="false"/>
          <w:i w:val="false"/>
          <w:color w:val="000000"/>
          <w:sz w:val="28"/>
        </w:rPr>
        <w:t xml:space="preserve">
      6.2. Банк, направив Получателю соответствующее письменное уведомление, может аннулировать право Получателя на дальнейшее снятие средств со Счета Гранта: (а) в любой момент после того, как право Получателя на снятие средств со Счета Гранта было приостановлено в соответствии с положениями пункта 6.1 данного раздела; (b) если в течение шести месяцев после вступления в силу настоящего Соглашения о гранте Получатель не смог принять удовлетворительные для Банка меры в целях осуществления Деятельности; или (с) если, после проведения консультаций с Получателем, Банк решил отказаться от дальнейшей поддержки Проекта; или (d) если Получатель отозвал свой запрос на помощь Банка в финансировании Проекта. </w:t>
      </w:r>
    </w:p>
    <w:p>
      <w:pPr>
        <w:spacing w:after="0"/>
        <w:ind w:left="0"/>
        <w:jc w:val="both"/>
      </w:pPr>
      <w:r>
        <w:rPr>
          <w:rFonts w:ascii="Times New Roman"/>
          <w:b w:val="false"/>
          <w:i w:val="false"/>
          <w:color w:val="000000"/>
          <w:sz w:val="28"/>
        </w:rPr>
        <w:t xml:space="preserve">Дополнение I        </w:t>
      </w:r>
    </w:p>
    <w:bookmarkStart w:name="z2" w:id="1"/>
    <w:p>
      <w:pPr>
        <w:spacing w:after="0"/>
        <w:ind w:left="0"/>
        <w:jc w:val="left"/>
      </w:pPr>
      <w:r>
        <w:rPr>
          <w:rFonts w:ascii="Times New Roman"/>
          <w:b/>
          <w:i w:val="false"/>
          <w:color w:val="000000"/>
        </w:rPr>
        <w:t xml:space="preserve"> 
Закупки </w:t>
      </w:r>
    </w:p>
    <w:bookmarkEnd w:id="1"/>
    <w:p>
      <w:pPr>
        <w:spacing w:after="0"/>
        <w:ind w:left="0"/>
        <w:jc w:val="both"/>
      </w:pPr>
      <w:r>
        <w:rPr>
          <w:rFonts w:ascii="Times New Roman"/>
          <w:b w:val="false"/>
          <w:i w:val="false"/>
          <w:color w:val="000000"/>
          <w:sz w:val="28"/>
          <w:u w:val="single"/>
        </w:rPr>
        <w:t xml:space="preserve">      Раздел I. Консультационные услуги </w:t>
      </w:r>
      <w:r>
        <w:br/>
      </w:r>
      <w:r>
        <w:rPr>
          <w:rFonts w:ascii="Times New Roman"/>
          <w:b w:val="false"/>
          <w:i w:val="false"/>
          <w:color w:val="000000"/>
          <w:sz w:val="28"/>
        </w:rPr>
        <w:t>
</w:t>
      </w:r>
      <w:r>
        <w:rPr>
          <w:rFonts w:ascii="Times New Roman"/>
          <w:b w:val="false"/>
          <w:i w:val="false"/>
          <w:color w:val="000000"/>
          <w:sz w:val="28"/>
          <w:u w:val="single"/>
        </w:rPr>
        <w:t xml:space="preserve">      Часть А:  Общие положения </w:t>
      </w:r>
    </w:p>
    <w:p>
      <w:pPr>
        <w:spacing w:after="0"/>
        <w:ind w:left="0"/>
        <w:jc w:val="both"/>
      </w:pPr>
      <w:r>
        <w:rPr>
          <w:rFonts w:ascii="Times New Roman"/>
          <w:b w:val="false"/>
          <w:i w:val="false"/>
          <w:color w:val="000000"/>
          <w:sz w:val="28"/>
        </w:rPr>
        <w:t xml:space="preserve">      Консультационные услуги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Приложением 2 к Руководству и следующими положениями настоящего раздела. </w:t>
      </w:r>
    </w:p>
    <w:p>
      <w:pPr>
        <w:spacing w:after="0"/>
        <w:ind w:left="0"/>
        <w:jc w:val="both"/>
      </w:pPr>
      <w:r>
        <w:rPr>
          <w:rFonts w:ascii="Times New Roman"/>
          <w:b w:val="false"/>
          <w:i w:val="false"/>
          <w:color w:val="000000"/>
          <w:sz w:val="28"/>
          <w:u w:val="single"/>
        </w:rPr>
        <w:t xml:space="preserve">      Часть В: Отбор по качеству и стоимости </w:t>
      </w:r>
    </w:p>
    <w:p>
      <w:pPr>
        <w:spacing w:after="0"/>
        <w:ind w:left="0"/>
        <w:jc w:val="both"/>
      </w:pPr>
      <w:r>
        <w:rPr>
          <w:rFonts w:ascii="Times New Roman"/>
          <w:b w:val="false"/>
          <w:i w:val="false"/>
          <w:color w:val="000000"/>
          <w:sz w:val="28"/>
        </w:rPr>
        <w:t xml:space="preserve">      За исключением случаев, оговоренных в Части С настоящего Раздела, консультационные услуги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по консультантам, которые распространяются на случаи отбора консультантов по качеству и стоимости. </w:t>
      </w:r>
    </w:p>
    <w:p>
      <w:pPr>
        <w:spacing w:after="0"/>
        <w:ind w:left="0"/>
        <w:jc w:val="both"/>
      </w:pPr>
      <w:r>
        <w:rPr>
          <w:rFonts w:ascii="Times New Roman"/>
          <w:b w:val="false"/>
          <w:i w:val="false"/>
          <w:color w:val="000000"/>
          <w:sz w:val="28"/>
          <w:u w:val="single"/>
        </w:rPr>
        <w:t xml:space="preserve">      Часть С: Прочие процедуры для отбора консультантов </w:t>
      </w:r>
    </w:p>
    <w:p>
      <w:pPr>
        <w:spacing w:after="0"/>
        <w:ind w:left="0"/>
        <w:jc w:val="both"/>
      </w:pPr>
      <w:r>
        <w:rPr>
          <w:rFonts w:ascii="Times New Roman"/>
          <w:b w:val="false"/>
          <w:i w:val="false"/>
          <w:color w:val="000000"/>
          <w:sz w:val="28"/>
          <w:u w:val="single"/>
        </w:rPr>
        <w:t xml:space="preserve">      1. Отбор на основании квалификации консультантов </w:t>
      </w:r>
    </w:p>
    <w:p>
      <w:pPr>
        <w:spacing w:after="0"/>
        <w:ind w:left="0"/>
        <w:jc w:val="both"/>
      </w:pPr>
      <w:r>
        <w:rPr>
          <w:rFonts w:ascii="Times New Roman"/>
          <w:b w:val="false"/>
          <w:i w:val="false"/>
          <w:color w:val="000000"/>
          <w:sz w:val="28"/>
        </w:rPr>
        <w:t xml:space="preserve">      Услуги консультационных фирм для выполнения мероприятий, указанных в подпараграфах 1.1 (а), 1.1 (b), 1.1 (с), 1.1 (d), 1.1 (е), 1.1 (f) и 1.1 (g) настоящего Приложения, стоимость которых оценивается менее эквивалентной 100.000 долларам США на контракт, могут закупаться по контрактам, присуждаемым в соответствии с положениями параграфов 3.1 и 3.7 Руководства по консультантам. </w:t>
      </w:r>
    </w:p>
    <w:p>
      <w:pPr>
        <w:spacing w:after="0"/>
        <w:ind w:left="0"/>
        <w:jc w:val="both"/>
      </w:pPr>
      <w:r>
        <w:rPr>
          <w:rFonts w:ascii="Times New Roman"/>
          <w:b w:val="false"/>
          <w:i w:val="false"/>
          <w:color w:val="000000"/>
          <w:sz w:val="28"/>
          <w:u w:val="single"/>
        </w:rPr>
        <w:t xml:space="preserve">      2. Индивидуальные консультанты </w:t>
      </w:r>
    </w:p>
    <w:p>
      <w:pPr>
        <w:spacing w:after="0"/>
        <w:ind w:left="0"/>
        <w:jc w:val="both"/>
      </w:pPr>
      <w:r>
        <w:rPr>
          <w:rFonts w:ascii="Times New Roman"/>
          <w:b w:val="false"/>
          <w:i w:val="false"/>
          <w:color w:val="000000"/>
          <w:sz w:val="28"/>
        </w:rPr>
        <w:t xml:space="preserve">      Услуги индивидуальных консультантов для выполнения мероприятий, указанных в подпараграфах 1.1 (а), 1.1 (b), 1.1 (с), 1.1 (d), 1.1 (е), 1.1 (f) и 1.1 (g) настоящего Приложения, отвечающие требованиям, описанным в пункте 5.1 Руководства по консультантам, закупаются по контрактам, присуждаемым в соответствии с положениями пунктов 5.1-5.3 Руководства по консультантам. </w:t>
      </w:r>
    </w:p>
    <w:p>
      <w:pPr>
        <w:spacing w:after="0"/>
        <w:ind w:left="0"/>
        <w:jc w:val="both"/>
      </w:pPr>
      <w:r>
        <w:rPr>
          <w:rFonts w:ascii="Times New Roman"/>
          <w:b w:val="false"/>
          <w:i w:val="false"/>
          <w:color w:val="000000"/>
          <w:sz w:val="28"/>
          <w:u w:val="single"/>
        </w:rPr>
        <w:t xml:space="preserve">      Часть D: Рассмотрение Банком отбора консультантов </w:t>
      </w:r>
      <w:r>
        <w:br/>
      </w:r>
      <w:r>
        <w:rPr>
          <w:rFonts w:ascii="Times New Roman"/>
          <w:b w:val="false"/>
          <w:i w:val="false"/>
          <w:color w:val="000000"/>
          <w:sz w:val="28"/>
        </w:rPr>
        <w:t>
</w:t>
      </w:r>
      <w:r>
        <w:rPr>
          <w:rFonts w:ascii="Times New Roman"/>
          <w:b w:val="false"/>
          <w:i w:val="false"/>
          <w:color w:val="000000"/>
          <w:sz w:val="28"/>
          <w:u w:val="single"/>
        </w:rPr>
        <w:t xml:space="preserve">      1. Планирование отбора </w:t>
      </w:r>
    </w:p>
    <w:p>
      <w:pPr>
        <w:spacing w:after="0"/>
        <w:ind w:left="0"/>
        <w:jc w:val="both"/>
      </w:pPr>
      <w:r>
        <w:rPr>
          <w:rFonts w:ascii="Times New Roman"/>
          <w:b w:val="false"/>
          <w:i w:val="false"/>
          <w:color w:val="000000"/>
          <w:sz w:val="28"/>
        </w:rPr>
        <w:t xml:space="preserve">      До направления консультантам каких-либо приглашений к подаче предложений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Этот план должен уточняться раз в 6 месяцев на протяжении всего периода осуществления Деятельности, и каждый уточненный вариант должен направляться на рассмотрение и утверждение Банка.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p>
      <w:pPr>
        <w:spacing w:after="0"/>
        <w:ind w:left="0"/>
        <w:jc w:val="both"/>
      </w:pPr>
      <w:r>
        <w:rPr>
          <w:rFonts w:ascii="Times New Roman"/>
          <w:b w:val="false"/>
          <w:i w:val="false"/>
          <w:color w:val="000000"/>
          <w:sz w:val="28"/>
          <w:u w:val="single"/>
        </w:rPr>
        <w:t xml:space="preserve">      2. Предварительное рассмотрение </w:t>
      </w:r>
    </w:p>
    <w:p>
      <w:pPr>
        <w:spacing w:after="0"/>
        <w:ind w:left="0"/>
        <w:jc w:val="both"/>
      </w:pPr>
      <w:r>
        <w:rPr>
          <w:rFonts w:ascii="Times New Roman"/>
          <w:b w:val="false"/>
          <w:i w:val="false"/>
          <w:color w:val="000000"/>
          <w:sz w:val="28"/>
        </w:rPr>
        <w:t xml:space="preserve">      (a) В отношении каждого контракта, предусматривающего наем консультационных фирм, ориентировочная стоимость которого равна или превышает эквивалент 50.000 долларов США,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(b) В отношении каждого контракта, предусматривающего наем индивидуальных консультантов, ориентировочная стоимость которого равна или превышает эквивалент 25.000 долларов США,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p>
      <w:pPr>
        <w:spacing w:after="0"/>
        <w:ind w:left="0"/>
        <w:jc w:val="both"/>
      </w:pPr>
      <w:r>
        <w:rPr>
          <w:rFonts w:ascii="Times New Roman"/>
          <w:b w:val="false"/>
          <w:i w:val="false"/>
          <w:color w:val="000000"/>
          <w:sz w:val="28"/>
          <w:u w:val="single"/>
        </w:rPr>
        <w:t xml:space="preserve">      3. Последующее рассмотрение </w:t>
      </w:r>
    </w:p>
    <w:p>
      <w:pPr>
        <w:spacing w:after="0"/>
        <w:ind w:left="0"/>
        <w:jc w:val="both"/>
      </w:pPr>
      <w:r>
        <w:rPr>
          <w:rFonts w:ascii="Times New Roman"/>
          <w:b w:val="false"/>
          <w:i w:val="false"/>
          <w:color w:val="000000"/>
          <w:sz w:val="28"/>
        </w:rPr>
        <w:t xml:space="preserve">      На каждый контракт, который не регулируется положениями пункта 2 этой Части, распространяются процедуры, изложенные в пункте 4 Приложения 1 к Руководству по консультантам. </w:t>
      </w:r>
    </w:p>
    <w:p>
      <w:pPr>
        <w:spacing w:after="0"/>
        <w:ind w:left="0"/>
        <w:jc w:val="both"/>
      </w:pPr>
      <w:r>
        <w:rPr>
          <w:rFonts w:ascii="Times New Roman"/>
          <w:b w:val="false"/>
          <w:i w:val="false"/>
          <w:color w:val="000000"/>
          <w:sz w:val="28"/>
          <w:u w:val="single"/>
        </w:rPr>
        <w:t xml:space="preserve">      Раздел II. Закупка товаров </w:t>
      </w:r>
    </w:p>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опубликованного Банком в январе 1995 г. и пересматривавшегося в январе и августе 1996 г., сентябре 1997 г. и январе 1999 г. (Руководство); и (b)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слово "предложения" в этом параграфе 4 должно читаться как "котировки". </w:t>
      </w:r>
    </w:p>
    <w:p>
      <w:pPr>
        <w:spacing w:after="0"/>
        <w:ind w:left="0"/>
        <w:jc w:val="both"/>
      </w:pPr>
      <w:r>
        <w:rPr>
          <w:rFonts w:ascii="Times New Roman"/>
          <w:b w:val="false"/>
          <w:i w:val="false"/>
          <w:color w:val="000000"/>
          <w:sz w:val="28"/>
        </w:rPr>
        <w:t xml:space="preserve">Дополнение II        </w:t>
      </w:r>
    </w:p>
    <w:bookmarkStart w:name="z3" w:id="2"/>
    <w:p>
      <w:pPr>
        <w:spacing w:after="0"/>
        <w:ind w:left="0"/>
        <w:jc w:val="left"/>
      </w:pPr>
      <w:r>
        <w:rPr>
          <w:rFonts w:ascii="Times New Roman"/>
          <w:b/>
          <w:i w:val="false"/>
          <w:color w:val="000000"/>
        </w:rPr>
        <w:t xml:space="preserve"> 
Специальный счет </w:t>
      </w:r>
    </w:p>
    <w:bookmarkEnd w:id="2"/>
    <w:p>
      <w:pPr>
        <w:spacing w:after="0"/>
        <w:ind w:left="0"/>
        <w:jc w:val="both"/>
      </w:pP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(a) термин "приемлемая статья/приемлемые статьи" означает статью/статьи, указанные в таблице пункта 4.2 Приложения к настоящему Письму-соглашению; </w:t>
      </w:r>
      <w:r>
        <w:br/>
      </w:r>
      <w:r>
        <w:rPr>
          <w:rFonts w:ascii="Times New Roman"/>
          <w:b w:val="false"/>
          <w:i w:val="false"/>
          <w:color w:val="000000"/>
          <w:sz w:val="28"/>
        </w:rPr>
        <w:t xml:space="preserve">
      (b) термин "приемлемые расходы" означает расходы на оплату обоснованной стоимости товаров и услуг, необходимых для осуществления Деятельности и подлежащих финансированию из средств Гранта; и </w:t>
      </w:r>
      <w:r>
        <w:br/>
      </w:r>
      <w:r>
        <w:rPr>
          <w:rFonts w:ascii="Times New Roman"/>
          <w:b w:val="false"/>
          <w:i w:val="false"/>
          <w:color w:val="000000"/>
          <w:sz w:val="28"/>
        </w:rPr>
        <w:t xml:space="preserve">
      (c) термин "Санкционированная сумма" означает сумму, эквивалентную 50.000 долларам США, которая должна быть снята со Счета Гранта и внесена на Специальный счет в соответствии с пунктом 3 (а) настоящего Дополнения. </w:t>
      </w:r>
      <w:r>
        <w:br/>
      </w:r>
      <w:r>
        <w:rPr>
          <w:rFonts w:ascii="Times New Roman"/>
          <w:b w:val="false"/>
          <w:i w:val="false"/>
          <w:color w:val="000000"/>
          <w:sz w:val="28"/>
        </w:rPr>
        <w:t xml:space="preserve">
      2. Выплаты со Специального счета производятся исключительно для финансирования приемлемых расходов в соответствии с положениями настоящего Дополнения. </w:t>
      </w:r>
      <w:r>
        <w:br/>
      </w: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(a) Получатель направляет в Банк заявку или заявки на внесение на Специальный счет на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(b) (i)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(ii)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была выплачена со Специального счета для оплаты приемлемых расходов. Все внесенные таким образом средства снимаются Банком со Счета Гранта в рамках приемлемых статей и в соответствующих эквивалентных суммах, подтвержденных вышеуказанными и иными документами. </w:t>
      </w:r>
      <w:r>
        <w:br/>
      </w: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приемлемых расходов. </w:t>
      </w:r>
      <w:r>
        <w:br/>
      </w: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(a)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(b) если Получатель не представит в Банк в течение срока, установленного в подпункте (ii) пункта 5.1 (b)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(c)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(d) как только общая сумма снятых средств Гранта сравняется с эквивалентом двукратной Санкционированной суммы.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приемлемых расходов. </w:t>
      </w:r>
      <w:r>
        <w:br/>
      </w:r>
      <w:r>
        <w:rPr>
          <w:rFonts w:ascii="Times New Roman"/>
          <w:b w:val="false"/>
          <w:i w:val="false"/>
          <w:color w:val="000000"/>
          <w:sz w:val="28"/>
        </w:rPr>
        <w:t xml:space="preserve">
      6. (а) Если Банк на каком-то этапе решит, что какой-либо платеж со Специального счета: (i) был произведен для покрытия расходов или суммы, не являющихся приемлемыми согласно пункту 2 настоящего Дополнения; или (ii)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(В) внести на Специальный счет (или, по просьбе Банка, вернуть Банку) сумму, равную сумме такого платежа или той его части, которая не является приемлемой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(b)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