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fac5" w14:textId="7fcf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введении в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"О налогах и других обязательных платежах в бюджет" (Налоговый кодекс)".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дополнения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введении в действие Кодекса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налогах и других обязательных платежах в бюджет"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(Налоговый кодекс)"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Закон Республики Казахстан "О введении в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кодекс)" (Ведомости Парламента Республики Казахстан, 2001 г., N 11-12, ст. 169; N 15-16, ст. 224; 2002 года, N 1, ст. 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3-1. Налоговые обязательства,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кодекс)" в отношении земельных участков, легализуемых в порядке, определяемом законодательным актом Республики Казахстан, возникают у лиц, легализующих земельные участки, с момента признания земельных участков легализованными.".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со дня его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