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feab" w14:textId="54af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поступлений от реализации услуг, предоставляемых государственными учреждениями специализированными охранными подразделениями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поступлений от реализации услуг, предоставляемых государственными учреждениями специализированными охранными подразделениями органов внутренних дел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1448 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использования поступлений от реализации услуг, </w:t>
      </w:r>
      <w:r>
        <w:br/>
      </w:r>
      <w:r>
        <w:rPr>
          <w:rFonts w:ascii="Times New Roman"/>
          <w:b/>
          <w:i w:val="false"/>
          <w:color w:val="000000"/>
        </w:rPr>
        <w:t>предоставляемых государственными учреждениями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специализированными охранными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использования поступлений, получаемых от реализации услуг государственными учреждениями специализированными охранными подразделениями органов внутренних дел Республики Казахстан (далее - специализированные охранные подразделения).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поступлений, </w:t>
      </w:r>
      <w:r>
        <w:br/>
      </w:r>
      <w:r>
        <w:rPr>
          <w:rFonts w:ascii="Times New Roman"/>
          <w:b/>
          <w:i w:val="false"/>
          <w:color w:val="000000"/>
        </w:rPr>
        <w:t>получаемых от реализации услуг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Средства, получаемые специализированными охранными подразделениями от реализации платных услуг, зачисляются на текущие счета государственных учреждений специализированных охранных подразделений "Средства от платных услуг", открытые в органах Комитета казначейства Министерства финансов Республики Казахстан и расходуются строго по целевому назначению согласно пункту 4 настоящих Правил.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расходования средств от реализации платных услуг составляются и утверждаются </w:t>
      </w:r>
      <w:r>
        <w:rPr>
          <w:rFonts w:ascii="Times New Roman"/>
          <w:b w:val="false"/>
          <w:i w:val="false"/>
          <w:color w:val="000000"/>
          <w:sz w:val="28"/>
        </w:rPr>
        <w:t>планы доходов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финансирования расходов в порядке, устанавливаемом Министерством финансов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Поступления, получаемые от реализации платных услуг, предоставляемых специализированными охранными подразделениями, используются на: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основной заработной платы, включающую: должностной оклад; доплату за специальное звание; надбавки за классную квалификацию; надбавки за особые условия прохождения службы; доплаты за проживание в зонах экологического бедствия; оплату отпуска; компенсацию за неиспользованный отпуск; разницу в заработной плате; доплату за совмещение должностей; оплату за работу в ночное время, в выходные и праздничные дни;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руководителя на материальную помощь, премии и иные стимулирующие выплаты за счет экономии средств, предусмотренных на содержание специализированных охранных подразделений по смете; оплату сверхурочной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пособие для оздоровления; подъемное пособие при служебном перемещении; компенсации,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выплату единовременной </w:t>
      </w:r>
      <w:r>
        <w:rPr>
          <w:rFonts w:ascii="Times New Roman"/>
          <w:b w:val="false"/>
          <w:i w:val="false"/>
          <w:color w:val="000000"/>
          <w:sz w:val="28"/>
        </w:rPr>
        <w:t>компенсации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гибели (смерти) или увечья сотрудников специализированных охранных подразделений в период исполнения ими служебных обязанностей или служебного долга; единовременное пособие при увольнении; доплаты и надбавки за условия труда работникам, не имеющим специальных званий;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пенсионные взносы сотрудников специализированных охранных подразделений в единый накопительный пенсионный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налоги и другие обязательные платежи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взносы на обязательное страхование гражданско-правовой ответственности владельцев автотранспортных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продуктов питания;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медикаментов и прочих средств медицинского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приобретение, пошив и ремонт предметов вещевого имущества и другого форменного и специального обмундирования;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служебные командировки;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аренды помещений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товаров, стоимость за единицу которых не превышает 40-кратный месячный расчетный показатель;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коммунальных услуг и услуг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транспортных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содержание, обслуживание, текущий и капитальный ремонт зданий, сооружений, помещений, оборудования и других основных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услуг и работ, оказываемых юридическими и физическими лицами по договору; оплату банковских услуг; учебные расходы;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 </w:t>
      </w:r>
      <w:r>
        <w:rPr>
          <w:rFonts w:ascii="Times New Roman"/>
          <w:b w:val="false"/>
          <w:i w:val="false"/>
          <w:color w:val="000000"/>
          <w:sz w:val="28"/>
        </w:rPr>
        <w:t>погребение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умерших или погибших сотрудников специализированных охранных подразделений; штрафы, неустойки; призы, памятные подарки и денежные вознаграждения победителям и участникам культурных, спортивных и других мероприятий; обязательный техосмотр автотранспортных средств; юридические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компенсационные выплаты на содержание жилища и коммунальные услуги сотрудникам специализированных охранных подразделений; возмещение ущерба, причиненного рабочим и служащим увечьем либо иным повреждением здоровья, связанного с исполнением ими трудовых обязанностей; возмещение убытков охраняемым юридическим и физическим лицам, в связи с кражами, допущенными по вине специализированных охранных подразделений;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иных товаров, стоимость за единицу которых превышает 40-кратный месячный расчетный показатель, в том числе автотранспорт, вооружение, средства специального назначения, средства связи - стационарные, мобильные и носимые радиостанции;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животных, задействованных в охране.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Учет средств, поступающих от реализации платных услуг и отчетность об их использовании, осуществляются в соответствии с законодательством Республики Казахстан.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