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77fb" w14:textId="37b7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создания Единой государственной системы мониторинга недропользования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1444. Утратило силу постановлением Правительства Республики Казахстан от 22 декабря 2010 года N 1396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22.12.2010 </w:t>
      </w:r>
      <w:r>
        <w:rPr>
          <w:rFonts w:ascii="Times New Roman"/>
          <w:b w:val="false"/>
          <w:i w:val="false"/>
          <w:color w:val="ff0000"/>
          <w:sz w:val="28"/>
        </w:rPr>
        <w:t>N 1396</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пунктом 6.1.2 Плана мероприятий по реализации Программы Правительства Республики Казахстан на 2002-2004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24 апреля 2002 года N 470,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прилагаемый Порядок создания Единой государственной системы мониторинга недропользования Республики Казахстан. </w:t>
      </w:r>
    </w:p>
    <w:bookmarkEnd w:id="0"/>
    <w:bookmarkStart w:name="z2" w:id="1"/>
    <w:p>
      <w:pPr>
        <w:spacing w:after="0"/>
        <w:ind w:left="0"/>
        <w:jc w:val="both"/>
      </w:pPr>
      <w:r>
        <w:rPr>
          <w:rFonts w:ascii="Times New Roman"/>
          <w:b w:val="false"/>
          <w:i w:val="false"/>
          <w:color w:val="000000"/>
          <w:sz w:val="28"/>
        </w:rPr>
        <w:t xml:space="preserve">
      2. Министерству энергетики и минеральных ресурсов Республики Казахстан как Компетентному органу по заключению и исполнению контрактов на недропользование обеспечить создание Единой государственной системы мониторинга недропользования Республики Казахстан в 2003-2004 годах.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1444 </w:t>
      </w:r>
    </w:p>
    <w:bookmarkEnd w:id="3"/>
    <w:p>
      <w:pPr>
        <w:spacing w:after="0"/>
        <w:ind w:left="0"/>
        <w:jc w:val="left"/>
      </w:pPr>
      <w:r>
        <w:rPr>
          <w:rFonts w:ascii="Times New Roman"/>
          <w:b/>
          <w:i w:val="false"/>
          <w:color w:val="000000"/>
        </w:rPr>
        <w:t xml:space="preserve"> Порядок создания </w:t>
      </w:r>
      <w:r>
        <w:br/>
      </w:r>
      <w:r>
        <w:rPr>
          <w:rFonts w:ascii="Times New Roman"/>
          <w:b/>
          <w:i w:val="false"/>
          <w:color w:val="000000"/>
        </w:rPr>
        <w:t xml:space="preserve">
Единой государственной системы мониторинга </w:t>
      </w:r>
      <w:r>
        <w:br/>
      </w:r>
      <w:r>
        <w:rPr>
          <w:rFonts w:ascii="Times New Roman"/>
          <w:b/>
          <w:i w:val="false"/>
          <w:color w:val="000000"/>
        </w:rPr>
        <w:t xml:space="preserve">
недропользования Республики Казахстан </w:t>
      </w:r>
    </w:p>
    <w:bookmarkStart w:name="z5" w:id="4"/>
    <w:p>
      <w:pPr>
        <w:spacing w:after="0"/>
        <w:ind w:left="0"/>
        <w:jc w:val="left"/>
      </w:pPr>
      <w:r>
        <w:rPr>
          <w:rFonts w:ascii="Times New Roman"/>
          <w:b/>
          <w:i w:val="false"/>
          <w:color w:val="000000"/>
        </w:rPr>
        <w:t xml:space="preserve"> 
1. Общие положения и понятия </w:t>
      </w:r>
    </w:p>
    <w:bookmarkEnd w:id="4"/>
    <w:bookmarkStart w:name="z6" w:id="5"/>
    <w:p>
      <w:pPr>
        <w:spacing w:after="0"/>
        <w:ind w:left="0"/>
        <w:jc w:val="both"/>
      </w:pPr>
      <w:r>
        <w:rPr>
          <w:rFonts w:ascii="Times New Roman"/>
          <w:b w:val="false"/>
          <w:i w:val="false"/>
          <w:color w:val="000000"/>
          <w:sz w:val="28"/>
        </w:rPr>
        <w:t xml:space="preserve">
      1. Настоящий порядок определяет процедуру создания Единой государственной системы мониторинга недропользования Республики Казахстан. </w:t>
      </w:r>
    </w:p>
    <w:bookmarkEnd w:id="5"/>
    <w:bookmarkStart w:name="z7" w:id="6"/>
    <w:p>
      <w:pPr>
        <w:spacing w:after="0"/>
        <w:ind w:left="0"/>
        <w:jc w:val="both"/>
      </w:pPr>
      <w:r>
        <w:rPr>
          <w:rFonts w:ascii="Times New Roman"/>
          <w:b w:val="false"/>
          <w:i w:val="false"/>
          <w:color w:val="000000"/>
          <w:sz w:val="28"/>
        </w:rPr>
        <w:t>
      2. Единая государственная система мониторинга недропользования Республики Казахстан (далее - ЕГСМ НП) создается для контроля за выполнением лицензионных и/или контрактных условий. Положения и понятия, применяемые в ЕГСМ НП, соответствуют Указу Президента Республики Казахстан, имеющему силу Закона, от 27 января 1996 года N 2828 "</w:t>
      </w:r>
      <w:r>
        <w:rPr>
          <w:rFonts w:ascii="Times New Roman"/>
          <w:b w:val="false"/>
          <w:i w:val="false"/>
          <w:color w:val="000000"/>
          <w:sz w:val="28"/>
        </w:rPr>
        <w:t>О недрах и недропользовании</w:t>
      </w:r>
      <w:r>
        <w:rPr>
          <w:rFonts w:ascii="Times New Roman"/>
          <w:b w:val="false"/>
          <w:i w:val="false"/>
          <w:color w:val="000000"/>
          <w:sz w:val="28"/>
        </w:rPr>
        <w:t>", Указу Президента Республики Казахстан, имеющему силу Закона, от 28 июня 1995 года N 2350 "</w:t>
      </w:r>
      <w:r>
        <w:rPr>
          <w:rFonts w:ascii="Times New Roman"/>
          <w:b w:val="false"/>
          <w:i w:val="false"/>
          <w:color w:val="000000"/>
          <w:sz w:val="28"/>
        </w:rPr>
        <w:t>О нефти</w:t>
      </w:r>
      <w:r>
        <w:rPr>
          <w:rFonts w:ascii="Times New Roman"/>
          <w:b w:val="false"/>
          <w:i w:val="false"/>
          <w:color w:val="000000"/>
          <w:sz w:val="28"/>
        </w:rPr>
        <w:t>" и Указу Президента Республики Казахстан от 16 марта 2001 года N 573 "</w:t>
      </w:r>
      <w:r>
        <w:rPr>
          <w:rFonts w:ascii="Times New Roman"/>
          <w:b w:val="false"/>
          <w:i w:val="false"/>
          <w:color w:val="000000"/>
          <w:sz w:val="28"/>
        </w:rPr>
        <w:t xml:space="preserve">О Государственной программе </w:t>
      </w:r>
      <w:r>
        <w:rPr>
          <w:rFonts w:ascii="Times New Roman"/>
          <w:b w:val="false"/>
          <w:i w:val="false"/>
          <w:color w:val="000000"/>
          <w:sz w:val="28"/>
        </w:rPr>
        <w:t xml:space="preserve">формирования и развития национальной информационной инфраструктуры Республики Казахстан". </w:t>
      </w:r>
      <w:r>
        <w:rPr>
          <w:rFonts w:ascii="Times New Roman"/>
          <w:b w:val="false"/>
          <w:i w:val="false"/>
          <w:color w:val="000000"/>
          <w:sz w:val="28"/>
        </w:rPr>
        <w:t>см.Z100291</w:t>
      </w:r>
    </w:p>
    <w:bookmarkEnd w:id="6"/>
    <w:bookmarkStart w:name="z22" w:id="7"/>
    <w:p>
      <w:pPr>
        <w:spacing w:after="0"/>
        <w:ind w:left="0"/>
        <w:jc w:val="left"/>
      </w:pPr>
      <w:r>
        <w:rPr>
          <w:rFonts w:ascii="Times New Roman"/>
          <w:b/>
          <w:i w:val="false"/>
          <w:color w:val="000000"/>
        </w:rPr>
        <w:t xml:space="preserve"> 
2. Порядок создания ЕГСМ НП </w:t>
      </w:r>
    </w:p>
    <w:bookmarkEnd w:id="7"/>
    <w:bookmarkStart w:name="z9" w:id="8"/>
    <w:p>
      <w:pPr>
        <w:spacing w:after="0"/>
        <w:ind w:left="0"/>
        <w:jc w:val="both"/>
      </w:pPr>
      <w:r>
        <w:rPr>
          <w:rFonts w:ascii="Times New Roman"/>
          <w:b w:val="false"/>
          <w:i w:val="false"/>
          <w:color w:val="000000"/>
          <w:sz w:val="28"/>
        </w:rPr>
        <w:t xml:space="preserve">
      3. ЕГСМ НП представляет собой совокупность элементов, связанных между собой в определенное образование, которое рассматривается как единое целое (система) и предназначено для достижения общей главной цели. Элемент системы - это часть системы, не подлежащая дальнейшему дроблению. Подсистема - это часть системы, представляющая обособленное образование взаимосвязанных элементов, которое обладает определенной целью функционирования, подчиненная общей цели системы. Структура системы - это способ взаимосвязи и распределения ее элементов (подсистем). </w:t>
      </w:r>
    </w:p>
    <w:bookmarkEnd w:id="8"/>
    <w:bookmarkStart w:name="z10" w:id="9"/>
    <w:p>
      <w:pPr>
        <w:spacing w:after="0"/>
        <w:ind w:left="0"/>
        <w:jc w:val="both"/>
      </w:pPr>
      <w:r>
        <w:rPr>
          <w:rFonts w:ascii="Times New Roman"/>
          <w:b w:val="false"/>
          <w:i w:val="false"/>
          <w:color w:val="000000"/>
          <w:sz w:val="28"/>
        </w:rPr>
        <w:t xml:space="preserve">
      4. Создание ЕГСМ НП заключается в синтезе системы, под которым понимается построение структуры системы по заданной цели ее функционирования. По своей структуре ЕГСМ НП представляет собой совокупность самостоятельных взаимосвязанных подсистем, каждая из которых решает определенную задачу мониторинга недропользования на определенном уровне. Создание ЕГСМ НП заключается в решении трех взаимосвязанных задач: </w:t>
      </w:r>
      <w:r>
        <w:br/>
      </w:r>
      <w:r>
        <w:rPr>
          <w:rFonts w:ascii="Times New Roman"/>
          <w:b w:val="false"/>
          <w:i w:val="false"/>
          <w:color w:val="000000"/>
          <w:sz w:val="28"/>
        </w:rPr>
        <w:t xml:space="preserve">
      создание единой информационной базы недропользования; </w:t>
      </w:r>
      <w:r>
        <w:br/>
      </w:r>
      <w:r>
        <w:rPr>
          <w:rFonts w:ascii="Times New Roman"/>
          <w:b w:val="false"/>
          <w:i w:val="false"/>
          <w:color w:val="000000"/>
          <w:sz w:val="28"/>
        </w:rPr>
        <w:t xml:space="preserve">
      совершенствование нормативно-методической базы мониторинга недропользования; </w:t>
      </w:r>
      <w:r>
        <w:br/>
      </w:r>
      <w:r>
        <w:rPr>
          <w:rFonts w:ascii="Times New Roman"/>
          <w:b w:val="false"/>
          <w:i w:val="false"/>
          <w:color w:val="000000"/>
          <w:sz w:val="28"/>
        </w:rPr>
        <w:t xml:space="preserve">
      создание информационно-коммуникационной системы мониторинга исполнения лицензионных и контрактных условий в сфере недропользования (далее - ИКС МИЛКУ). </w:t>
      </w:r>
    </w:p>
    <w:bookmarkEnd w:id="9"/>
    <w:bookmarkStart w:name="z11" w:id="10"/>
    <w:p>
      <w:pPr>
        <w:spacing w:after="0"/>
        <w:ind w:left="0"/>
        <w:jc w:val="both"/>
      </w:pPr>
      <w:r>
        <w:rPr>
          <w:rFonts w:ascii="Times New Roman"/>
          <w:b w:val="false"/>
          <w:i w:val="false"/>
          <w:color w:val="000000"/>
          <w:sz w:val="28"/>
        </w:rPr>
        <w:t xml:space="preserve">
      5. Единая информационная база недропользования формируется Компетентным органом на основе информации о деятельности недропользователей в рамках лицензий и/или контрактов и включает в себя следующие подсистемы: </w:t>
      </w:r>
      <w:r>
        <w:br/>
      </w:r>
      <w:r>
        <w:rPr>
          <w:rFonts w:ascii="Times New Roman"/>
          <w:b w:val="false"/>
          <w:i w:val="false"/>
          <w:color w:val="000000"/>
          <w:sz w:val="28"/>
        </w:rPr>
        <w:t xml:space="preserve">
      подсистема "Объект недропользования" содержит необходимые сведения о контрактных территориях, в пределах которых разрешено проведение операций по недропользованию; </w:t>
      </w:r>
      <w:r>
        <w:br/>
      </w:r>
      <w:r>
        <w:rPr>
          <w:rFonts w:ascii="Times New Roman"/>
          <w:b w:val="false"/>
          <w:i w:val="false"/>
          <w:color w:val="000000"/>
          <w:sz w:val="28"/>
        </w:rPr>
        <w:t xml:space="preserve">
      подсистема "Субъект недропользования" включает в себя необходимые сведения о недропользователях; </w:t>
      </w:r>
      <w:r>
        <w:br/>
      </w:r>
      <w:r>
        <w:rPr>
          <w:rFonts w:ascii="Times New Roman"/>
          <w:b w:val="false"/>
          <w:i w:val="false"/>
          <w:color w:val="000000"/>
          <w:sz w:val="28"/>
        </w:rPr>
        <w:t xml:space="preserve">
      подсистема "Право недропользования" содержит необходимые сведения о выданных лицензиях и заключенных контрактах на недропользование и состоит в свою очередь из подсистем "Лицензия" и "Контракт"; </w:t>
      </w:r>
      <w:r>
        <w:br/>
      </w:r>
      <w:r>
        <w:rPr>
          <w:rFonts w:ascii="Times New Roman"/>
          <w:b w:val="false"/>
          <w:i w:val="false"/>
          <w:color w:val="000000"/>
          <w:sz w:val="28"/>
        </w:rPr>
        <w:t xml:space="preserve">
      подсистема "Рабочая программа" включает в себя необходимые данные о минимальных рабочих программах лицензий и рабочих программах контрактов (ТЭО - технико-экономическое обоснование), а также все внесенные в них дополнения и изменения; </w:t>
      </w:r>
      <w:r>
        <w:br/>
      </w:r>
      <w:r>
        <w:rPr>
          <w:rFonts w:ascii="Times New Roman"/>
          <w:b w:val="false"/>
          <w:i w:val="false"/>
          <w:color w:val="000000"/>
          <w:sz w:val="28"/>
        </w:rPr>
        <w:t xml:space="preserve">
      подсистема "Проект разведки" содержит необходимые данные о проектах на проведение геологоразведочных работ по изучению участков недр (блоков) и разведке месторождений, а также все внесенные в них дополнения и изменения; </w:t>
      </w:r>
      <w:r>
        <w:br/>
      </w:r>
      <w:r>
        <w:rPr>
          <w:rFonts w:ascii="Times New Roman"/>
          <w:b w:val="false"/>
          <w:i w:val="false"/>
          <w:color w:val="000000"/>
          <w:sz w:val="28"/>
        </w:rPr>
        <w:t xml:space="preserve">
      подсистема "Проект разработки" включает в себя необходимую информацию о проектах опытно-промышленной и промышленной разработки месторождений, а также о всех внесенных в них дополнениях и изменениях; </w:t>
      </w:r>
      <w:r>
        <w:br/>
      </w:r>
      <w:r>
        <w:rPr>
          <w:rFonts w:ascii="Times New Roman"/>
          <w:b w:val="false"/>
          <w:i w:val="false"/>
          <w:color w:val="000000"/>
          <w:sz w:val="28"/>
        </w:rPr>
        <w:t xml:space="preserve">
      подсистема "Годовая программа работ" содержит необходимые сведения по годовым программам работ недропользователей; </w:t>
      </w:r>
      <w:r>
        <w:br/>
      </w:r>
      <w:r>
        <w:rPr>
          <w:rFonts w:ascii="Times New Roman"/>
          <w:b w:val="false"/>
          <w:i w:val="false"/>
          <w:color w:val="000000"/>
          <w:sz w:val="28"/>
        </w:rPr>
        <w:t xml:space="preserve">
      подсистема "Отчет ЛКУ" использует данные государственной статистической отчетности недропользователей по формам ЛКУ N 1, 2, 3; </w:t>
      </w:r>
      <w:r>
        <w:br/>
      </w:r>
      <w:r>
        <w:rPr>
          <w:rFonts w:ascii="Times New Roman"/>
          <w:b w:val="false"/>
          <w:i w:val="false"/>
          <w:color w:val="000000"/>
          <w:sz w:val="28"/>
        </w:rPr>
        <w:t xml:space="preserve">
      подсистема "Финансы" содержит необходимые сведения о финансовых показателях деятельности недропользователя; </w:t>
      </w:r>
      <w:r>
        <w:br/>
      </w:r>
      <w:r>
        <w:rPr>
          <w:rFonts w:ascii="Times New Roman"/>
          <w:b w:val="false"/>
          <w:i w:val="false"/>
          <w:color w:val="000000"/>
          <w:sz w:val="28"/>
        </w:rPr>
        <w:t xml:space="preserve">
      подсистема "Налогообложение" включает сведения об оплате недропользователями налогов и платежей в бюджет по условиям лицензий и/или контрактов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r>
        <w:br/>
      </w:r>
      <w:r>
        <w:rPr>
          <w:rFonts w:ascii="Times New Roman"/>
          <w:b w:val="false"/>
          <w:i w:val="false"/>
          <w:color w:val="000000"/>
          <w:sz w:val="28"/>
        </w:rPr>
        <w:t xml:space="preserve">
      подсистема "Экономика" содержит необходимые сведения об экономических показателях деятельности; </w:t>
      </w:r>
      <w:r>
        <w:br/>
      </w:r>
      <w:r>
        <w:rPr>
          <w:rFonts w:ascii="Times New Roman"/>
          <w:b w:val="false"/>
          <w:i w:val="false"/>
          <w:color w:val="000000"/>
          <w:sz w:val="28"/>
        </w:rPr>
        <w:t xml:space="preserve">
      подсистема "Экология" включает необходимые сведения о выполнении недропользователями мер по охране недр и окружающей среды; </w:t>
      </w:r>
      <w:r>
        <w:br/>
      </w:r>
      <w:r>
        <w:rPr>
          <w:rFonts w:ascii="Times New Roman"/>
          <w:b w:val="false"/>
          <w:i w:val="false"/>
          <w:color w:val="000000"/>
          <w:sz w:val="28"/>
        </w:rPr>
        <w:t xml:space="preserve">
      подсистема "Страхование" содержит необходимые сведения о выполнении недропользователями обязательств по страхованию; </w:t>
      </w:r>
      <w:r>
        <w:br/>
      </w:r>
      <w:r>
        <w:rPr>
          <w:rFonts w:ascii="Times New Roman"/>
          <w:b w:val="false"/>
          <w:i w:val="false"/>
          <w:color w:val="000000"/>
          <w:sz w:val="28"/>
        </w:rPr>
        <w:t xml:space="preserve">
      подсистема "Охрана труда, техника безопасности и промышленная санитария" включает необходимые сведения о выполнении недропользователями мер по охране труда, технике безопасности, санитарно-эпидемиологической безопасности и промышленной санитарии; </w:t>
      </w:r>
      <w:r>
        <w:br/>
      </w:r>
      <w:r>
        <w:rPr>
          <w:rFonts w:ascii="Times New Roman"/>
          <w:b w:val="false"/>
          <w:i w:val="false"/>
          <w:color w:val="000000"/>
          <w:sz w:val="28"/>
        </w:rPr>
        <w:t xml:space="preserve">
      подсистема "Социальная сфера" содержит необходимые сведения о выполнении недропользователями обязательств по социальным вопросам; </w:t>
      </w:r>
      <w:r>
        <w:br/>
      </w:r>
      <w:r>
        <w:rPr>
          <w:rFonts w:ascii="Times New Roman"/>
          <w:b w:val="false"/>
          <w:i w:val="false"/>
          <w:color w:val="000000"/>
          <w:sz w:val="28"/>
        </w:rPr>
        <w:t xml:space="preserve">
      подсистема "Образование" включает необходимые сведения о выполнении недропользователями обязательств по обучению казахстанских специалистов; </w:t>
      </w:r>
      <w:r>
        <w:br/>
      </w:r>
      <w:r>
        <w:rPr>
          <w:rFonts w:ascii="Times New Roman"/>
          <w:b w:val="false"/>
          <w:i w:val="false"/>
          <w:color w:val="000000"/>
          <w:sz w:val="28"/>
        </w:rPr>
        <w:t xml:space="preserve">
      подсистема "Субподряд" содержит необходимые сведения о выполнении недропользователями обязательств по привлечению подрядчиков-поставщиков услуг, товаров и оборудования; </w:t>
      </w:r>
      <w:r>
        <w:br/>
      </w:r>
      <w:r>
        <w:rPr>
          <w:rFonts w:ascii="Times New Roman"/>
          <w:b w:val="false"/>
          <w:i w:val="false"/>
          <w:color w:val="000000"/>
          <w:sz w:val="28"/>
        </w:rPr>
        <w:t xml:space="preserve">
      подсистема "Нормативно-правовая база" включает необходимые сведения о нормативных правовых актах Республики Казахстан в сфере недропользования; </w:t>
      </w:r>
      <w:r>
        <w:br/>
      </w:r>
      <w:r>
        <w:rPr>
          <w:rFonts w:ascii="Times New Roman"/>
          <w:b w:val="false"/>
          <w:i w:val="false"/>
          <w:color w:val="000000"/>
          <w:sz w:val="28"/>
        </w:rPr>
        <w:t xml:space="preserve">
      подсистема "Документооборот по недропользованию" содержит информацию и документы от центральных и местных исполнительных органов Республики Казахстан, которые в пределах своей компетенции контролируют деятельность недропользователей; </w:t>
      </w:r>
      <w:r>
        <w:br/>
      </w:r>
      <w:r>
        <w:rPr>
          <w:rFonts w:ascii="Times New Roman"/>
          <w:b w:val="false"/>
          <w:i w:val="false"/>
          <w:color w:val="000000"/>
          <w:sz w:val="28"/>
        </w:rPr>
        <w:t xml:space="preserve">
      подсистема "Разное" содержит информацию о различных факторах, влияющих на состояние недропользования в Республике Казахстан (социальные, экономические, международные, правовые, научно-технические и другие). </w:t>
      </w:r>
      <w:r>
        <w:br/>
      </w:r>
      <w:r>
        <w:rPr>
          <w:rFonts w:ascii="Times New Roman"/>
          <w:b w:val="false"/>
          <w:i w:val="false"/>
          <w:color w:val="000000"/>
          <w:sz w:val="28"/>
        </w:rPr>
        <w:t xml:space="preserve">
      По мере разработки и развития ЕГСМ НП в ней могут формироваться новые подсистемы. </w:t>
      </w:r>
    </w:p>
    <w:bookmarkEnd w:id="10"/>
    <w:bookmarkStart w:name="z12" w:id="11"/>
    <w:p>
      <w:pPr>
        <w:spacing w:after="0"/>
        <w:ind w:left="0"/>
        <w:jc w:val="both"/>
      </w:pPr>
      <w:r>
        <w:rPr>
          <w:rFonts w:ascii="Times New Roman"/>
          <w:b w:val="false"/>
          <w:i w:val="false"/>
          <w:color w:val="000000"/>
          <w:sz w:val="28"/>
        </w:rPr>
        <w:t xml:space="preserve">
      6. Центральные и местные исполнительные органы, контролирующие в пределах своей компетенции деятельность недропользователей, обязаны предоставлять соответствующую информацию Компетентному органу. </w:t>
      </w:r>
    </w:p>
    <w:bookmarkEnd w:id="11"/>
    <w:bookmarkStart w:name="z13" w:id="12"/>
    <w:p>
      <w:pPr>
        <w:spacing w:after="0"/>
        <w:ind w:left="0"/>
        <w:jc w:val="both"/>
      </w:pPr>
      <w:r>
        <w:rPr>
          <w:rFonts w:ascii="Times New Roman"/>
          <w:b w:val="false"/>
          <w:i w:val="false"/>
          <w:color w:val="000000"/>
          <w:sz w:val="28"/>
        </w:rPr>
        <w:t xml:space="preserve">
      7. Передача информации (сведений) Компетентному органу осуществляется на основании приказов об обмене информации, издаваемых Компетентным органом совместно с центральными и местными исполнительными органами. Форматы, сроки, содержание и периодичность представления информации определяются в приказах. </w:t>
      </w:r>
    </w:p>
    <w:bookmarkEnd w:id="12"/>
    <w:bookmarkStart w:name="z14" w:id="13"/>
    <w:p>
      <w:pPr>
        <w:spacing w:after="0"/>
        <w:ind w:left="0"/>
        <w:jc w:val="both"/>
      </w:pPr>
      <w:r>
        <w:rPr>
          <w:rFonts w:ascii="Times New Roman"/>
          <w:b w:val="false"/>
          <w:i w:val="false"/>
          <w:color w:val="000000"/>
          <w:sz w:val="28"/>
        </w:rPr>
        <w:t xml:space="preserve">
      8. Нормативно-методическая база мониторинга недропользования описывает функционирование ЕГСМ НП как интегрированной системы для достижения поставленной цели. Реализация цели ЕГСМ НП предусматривает решение ряда взаимосвязанных между собой задач мониторинга недропользования различного уровня, каждая из которых решается на определенном этапе. В ЕГСМ НП определены пять уровней задач мониторинга недропользования. Каждый уровень задач рассматривается как подсистема ЕГСМ НП. </w:t>
      </w:r>
      <w:r>
        <w:br/>
      </w:r>
      <w:r>
        <w:rPr>
          <w:rFonts w:ascii="Times New Roman"/>
          <w:b w:val="false"/>
          <w:i w:val="false"/>
          <w:color w:val="000000"/>
          <w:sz w:val="28"/>
        </w:rPr>
        <w:t xml:space="preserve">
      Подсистема "Лицензионно-контрактные условия" (далее - "ЛКУ") решает задачу мониторинга недропользования 1-го уровня. Элементами подсистемы являются данные информационной подсистемы "Отчет ЛКУ". Подсистема "ЛКУ" предназначена для проведения выборки ее элементов по запросам пользователей. Подсистема создана в 2001 году. Подсистема "Анализ" решает задачу мониторинга недропользования 2-го уровня. Элементами подсистемы являются данные подсистем "Объект недропользования", "Субъект недропользования", "Право недропользования", "Отчет ЛКУ" и "Документооборот по недропользованию" единой информационной базы недропользования. Подсистема "Анализ" решает задачу взаимосвязи между ее элементами для отдельного лицензионно-контрактного условия. Подсистема создана в 2002 году. </w:t>
      </w:r>
      <w:r>
        <w:br/>
      </w:r>
      <w:r>
        <w:rPr>
          <w:rFonts w:ascii="Times New Roman"/>
          <w:b w:val="false"/>
          <w:i w:val="false"/>
          <w:color w:val="000000"/>
          <w:sz w:val="28"/>
        </w:rPr>
        <w:t xml:space="preserve">
      Подсистема "Оценка" решает задачу мониторинга недропользования 3-го уровня, заключающуюся в разработке критериев по оценке степени выполнения отдельного лицензионно-контрактного условия. Элементами подсистемы "Оценка" являются все подсистемы единой информационной базы недропользования. Срок создания подсистемы "Оценка" - 2003 год. </w:t>
      </w:r>
      <w:r>
        <w:br/>
      </w:r>
      <w:r>
        <w:rPr>
          <w:rFonts w:ascii="Times New Roman"/>
          <w:b w:val="false"/>
          <w:i w:val="false"/>
          <w:color w:val="000000"/>
          <w:sz w:val="28"/>
        </w:rPr>
        <w:t xml:space="preserve">
      Подсистема "Лицензия/Контракт" решает задачи мониторинга недропользования 4-го уровня, которые заключаются в комплексной оценке последствий допущенных нарушений лицензионно-контрактных условий; оценке эффективности работы недропользователя в рамках лицензий и/или контракта в целом; соблюдении баланса сторон лицензии/контракта. Срок создания подсистемы "Лицензия/Контракт" - 2004 год. </w:t>
      </w:r>
      <w:r>
        <w:br/>
      </w:r>
      <w:r>
        <w:rPr>
          <w:rFonts w:ascii="Times New Roman"/>
          <w:b w:val="false"/>
          <w:i w:val="false"/>
          <w:color w:val="000000"/>
          <w:sz w:val="28"/>
        </w:rPr>
        <w:t xml:space="preserve">
      Подсистема "Мониторинг недропользования" решает задачу 5-го уровня, заключающуюся в проведении анализа состояния сферы недропользования для выявления происходящих в нем изменений и прогноза его дальнейшего развития. На основе анализа данных состояния недропользования возможна подготовка предложений по предупреждению и устранению негативных процессов с целью обеспечения защиты интересов государства и ее природных ресурсов. Срок создания подсистемы "Мониторинг недропользования" - 2004 год. </w:t>
      </w:r>
    </w:p>
    <w:bookmarkEnd w:id="13"/>
    <w:bookmarkStart w:name="z15" w:id="14"/>
    <w:p>
      <w:pPr>
        <w:spacing w:after="0"/>
        <w:ind w:left="0"/>
        <w:jc w:val="both"/>
      </w:pPr>
      <w:r>
        <w:rPr>
          <w:rFonts w:ascii="Times New Roman"/>
          <w:b w:val="false"/>
          <w:i w:val="false"/>
          <w:color w:val="000000"/>
          <w:sz w:val="28"/>
        </w:rPr>
        <w:t xml:space="preserve">
      9. Единая информационная база недропользования и нормативно-методическая база мониторинга недропользования реализуются путем создания ИКС МИЛКУ. </w:t>
      </w:r>
    </w:p>
    <w:bookmarkEnd w:id="14"/>
    <w:bookmarkStart w:name="z16" w:id="15"/>
    <w:p>
      <w:pPr>
        <w:spacing w:after="0"/>
        <w:ind w:left="0"/>
        <w:jc w:val="both"/>
      </w:pPr>
      <w:r>
        <w:rPr>
          <w:rFonts w:ascii="Times New Roman"/>
          <w:b w:val="false"/>
          <w:i w:val="false"/>
          <w:color w:val="000000"/>
          <w:sz w:val="28"/>
        </w:rPr>
        <w:t xml:space="preserve">
      10. ИКС МИЛКУ является многоуровневой иерархической информационной системой. В состав ИКС МИЛКУ входят фактографическая, документальная, информационно-поисковая системы и система обработки данных. </w:t>
      </w:r>
    </w:p>
    <w:bookmarkEnd w:id="15"/>
    <w:bookmarkStart w:name="z17" w:id="16"/>
    <w:p>
      <w:pPr>
        <w:spacing w:after="0"/>
        <w:ind w:left="0"/>
        <w:jc w:val="both"/>
      </w:pPr>
      <w:r>
        <w:rPr>
          <w:rFonts w:ascii="Times New Roman"/>
          <w:b w:val="false"/>
          <w:i w:val="false"/>
          <w:color w:val="000000"/>
          <w:sz w:val="28"/>
        </w:rPr>
        <w:t xml:space="preserve">
      11. Структурно ИКС МИЛКУ представляет собой систему "клиент-сервер", обеспечивающую переносимость, взаимосвязь и масштабность информационных ресурсов, на базе информационной технологии SQL. </w:t>
      </w:r>
    </w:p>
    <w:bookmarkEnd w:id="16"/>
    <w:bookmarkStart w:name="z18" w:id="17"/>
    <w:p>
      <w:pPr>
        <w:spacing w:after="0"/>
        <w:ind w:left="0"/>
        <w:jc w:val="both"/>
      </w:pPr>
      <w:r>
        <w:rPr>
          <w:rFonts w:ascii="Times New Roman"/>
          <w:b w:val="false"/>
          <w:i w:val="false"/>
          <w:color w:val="000000"/>
          <w:sz w:val="28"/>
        </w:rPr>
        <w:t xml:space="preserve">
      12. Банк данных ИКС МИЛКУ является гомоморфной моделью единой информационной базы недропользования. Подсистемы единой информационной базы недропользования в банке данных ИКС МИЛКУ представлены соответствующими базами данных фактографических и документальных систем. </w:t>
      </w:r>
    </w:p>
    <w:bookmarkEnd w:id="17"/>
    <w:bookmarkStart w:name="z19" w:id="18"/>
    <w:p>
      <w:pPr>
        <w:spacing w:after="0"/>
        <w:ind w:left="0"/>
        <w:jc w:val="both"/>
      </w:pPr>
      <w:r>
        <w:rPr>
          <w:rFonts w:ascii="Times New Roman"/>
          <w:b w:val="false"/>
          <w:i w:val="false"/>
          <w:color w:val="000000"/>
          <w:sz w:val="28"/>
        </w:rPr>
        <w:t xml:space="preserve">
      13. Подсистемы ЕГСМ НП различного уровня представлены в ИКС МИЛКУ соответствующими информационно-поисковыми системами и системами обработки данных. Создание ИКС МИЛКУ проводится поэтапно в соответствии с этапами создания подсистем ЕГСМ НП. На каждом этапе создается информационно-коммуникационная система (далее - ИКС) соответствующего уровня: 2001 год - создана ИКС "ЛКУ" (1-й уровень), 2002 год - проведены работы по созданию ИКС "Анализ" (2-й уровень), 2003 год - создание ИКС "Оценка" (3-й уровень), 2004 год - создание ИКС "Лицензия/Контракт" (4-й уровень) и ИКС "Мониторинг недропользования" (5-й уровень). </w:t>
      </w:r>
    </w:p>
    <w:bookmarkEnd w:id="18"/>
    <w:bookmarkStart w:name="z20" w:id="19"/>
    <w:p>
      <w:pPr>
        <w:spacing w:after="0"/>
        <w:ind w:left="0"/>
        <w:jc w:val="both"/>
      </w:pPr>
      <w:r>
        <w:rPr>
          <w:rFonts w:ascii="Times New Roman"/>
          <w:b w:val="false"/>
          <w:i w:val="false"/>
          <w:color w:val="000000"/>
          <w:sz w:val="28"/>
        </w:rPr>
        <w:t xml:space="preserve">
      14. В локальной сети Компетентного органа надежность и безопасность ИКС МИЛКУ реализуются через стандартные средства существующих операционных систем и коммуникаций. </w:t>
      </w:r>
    </w:p>
    <w:bookmarkEnd w:id="19"/>
    <w:bookmarkStart w:name="z21" w:id="20"/>
    <w:p>
      <w:pPr>
        <w:spacing w:after="0"/>
        <w:ind w:left="0"/>
        <w:jc w:val="both"/>
      </w:pPr>
      <w:r>
        <w:rPr>
          <w:rFonts w:ascii="Times New Roman"/>
          <w:b w:val="false"/>
          <w:i w:val="false"/>
          <w:color w:val="000000"/>
          <w:sz w:val="28"/>
        </w:rPr>
        <w:t xml:space="preserve">
      15. Создание ИКС МИЛКУ проводится в рамках бюджетной программы 601 "Создание информационно-коммуникационной системы мониторинга исполнения лицензионных и контрактных условий в сфере недропользования".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