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fba2" w14:textId="fadf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"Главное диспетчерское управление нефтяной и газовой промышленности"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2002 года N 751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содействия осуществлению государственного мониторинга при добыче, геологоразведке, транспортировке и переработке углеводородов и управления транспортными потоками продукции нефтегазового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"Главное диспетчерское управление нефтяной и газовой промышленности" Министерства энергетики и минеральных ресурсов Республики Казахстан путем преобразования в закрытое акционерное общество "Главное диспетчерское управление нефтяной и газовой промышленности"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определить основными направлениями его деятельности технический сбор оперативной информации, составление информационно-аналитических справочных материалов для осуществления мониторинга нефтегазового комплекса республики, проведение маркетинговых исследований, сертификации продукции в области добычи, геологоразведки, транспортировки, переработки углеводородов 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энергетики и минеральных ресурсов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9 июля 2002 года N 751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Изменения и дополнения,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"123-55. ЗАО "Главное диспетчерское управление нефтяной и газовой промышленности".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46,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ЗАО "Главное диспетчерское управление нефтяной и газовой промышленности".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