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fab5" w14:textId="ed3f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привлечении займа Международного Банка Реконструкции и Развития для финансирования проекта "Регулирование русла реки Сырдарьи и сохранение северной части Аральского моря (Фаза 1)"</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2001 года N 1342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о займе между Республикой Казахстан и Международным Банком Реконструкции и Развития на сумму 64 500 000 (шестьдесят четыре миллиона пятьсот тысяч) долларов США по проекту "Регулирование русла реки Сырдарьи и сохранение северной части Аральского моря (Фаза 1)" (далее - Соглашение о займе). </w:t>
      </w:r>
      <w:r>
        <w:br/>
      </w:r>
      <w:r>
        <w:rPr>
          <w:rFonts w:ascii="Times New Roman"/>
          <w:b w:val="false"/>
          <w:i w:val="false"/>
          <w:color w:val="000000"/>
          <w:sz w:val="28"/>
        </w:rPr>
        <w:t xml:space="preserve">
      2. Внести предложение Президенту Республики Казахстан о предоставлении полномочий на подписание от имени Республики Казахстан Соглашения о займе между Республикой Казахстан и Международным Банком Реконструкции и Развития Заместителю Премьер-Министра Республики Казахстан Джандосову Уразу Алиевичу. </w:t>
      </w:r>
      <w:r>
        <w:br/>
      </w:r>
      <w:r>
        <w:rPr>
          <w:rFonts w:ascii="Times New Roman"/>
          <w:b w:val="false"/>
          <w:i w:val="false"/>
          <w:color w:val="000000"/>
          <w:sz w:val="28"/>
        </w:rPr>
        <w:t xml:space="preserve">
      3. Установить, что софинансирование проекта из республиканского бюджета не превысит 21 290 000 (двадцать один миллион двести девяносто тысяч) долларов США, в том числе оплата налога на добавленную стоимость - 10 780 000 (десять миллионов семьсот восемьдесят тысяч) долларов США. </w:t>
      </w:r>
      <w:r>
        <w:br/>
      </w:r>
      <w:r>
        <w:rPr>
          <w:rFonts w:ascii="Times New Roman"/>
          <w:b w:val="false"/>
          <w:i w:val="false"/>
          <w:color w:val="000000"/>
          <w:sz w:val="28"/>
        </w:rPr>
        <w:t xml:space="preserve">
      4. Внести в постановление Правительства Республики Казахстан от 30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декабря 2000 года N 1963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утверждении Программы </w:t>
      </w:r>
    </w:p>
    <w:p>
      <w:pPr>
        <w:spacing w:after="0"/>
        <w:ind w:left="0"/>
        <w:jc w:val="both"/>
      </w:pPr>
      <w:r>
        <w:rPr>
          <w:rFonts w:ascii="Times New Roman"/>
          <w:b w:val="false"/>
          <w:i w:val="false"/>
          <w:color w:val="000000"/>
          <w:sz w:val="28"/>
        </w:rPr>
        <w:t xml:space="preserve">государственных инвестиций Республики Казахстан на 2000-2002 годы" (САПП </w:t>
      </w:r>
    </w:p>
    <w:p>
      <w:pPr>
        <w:spacing w:after="0"/>
        <w:ind w:left="0"/>
        <w:jc w:val="both"/>
      </w:pPr>
      <w:r>
        <w:rPr>
          <w:rFonts w:ascii="Times New Roman"/>
          <w:b w:val="false"/>
          <w:i w:val="false"/>
          <w:color w:val="000000"/>
          <w:sz w:val="28"/>
        </w:rPr>
        <w:t>Республики Казахстан, 2000 г., N 56, ст. 631) следующие изменения:</w:t>
      </w:r>
    </w:p>
    <w:p>
      <w:pPr>
        <w:spacing w:after="0"/>
        <w:ind w:left="0"/>
        <w:jc w:val="both"/>
      </w:pPr>
      <w:r>
        <w:rPr>
          <w:rFonts w:ascii="Times New Roman"/>
          <w:b w:val="false"/>
          <w:i w:val="false"/>
          <w:color w:val="000000"/>
          <w:sz w:val="28"/>
        </w:rPr>
        <w:t xml:space="preserve">     в приложении 2 к Программе государственных инвестиций Республики </w:t>
      </w:r>
    </w:p>
    <w:p>
      <w:pPr>
        <w:spacing w:after="0"/>
        <w:ind w:left="0"/>
        <w:jc w:val="both"/>
      </w:pPr>
      <w:r>
        <w:rPr>
          <w:rFonts w:ascii="Times New Roman"/>
          <w:b w:val="false"/>
          <w:i w:val="false"/>
          <w:color w:val="000000"/>
          <w:sz w:val="28"/>
        </w:rPr>
        <w:t>Казахстан на 2000-2002 годы, утвержденной указанным постановлением:</w:t>
      </w:r>
    </w:p>
    <w:p>
      <w:pPr>
        <w:spacing w:after="0"/>
        <w:ind w:left="0"/>
        <w:jc w:val="both"/>
      </w:pPr>
      <w:r>
        <w:rPr>
          <w:rFonts w:ascii="Times New Roman"/>
          <w:b w:val="false"/>
          <w:i w:val="false"/>
          <w:color w:val="000000"/>
          <w:sz w:val="28"/>
        </w:rPr>
        <w:t>     в отраслевом секторе "Водное хозяйство" в строке, порядковый номер 39:</w:t>
      </w:r>
    </w:p>
    <w:p>
      <w:pPr>
        <w:spacing w:after="0"/>
        <w:ind w:left="0"/>
        <w:jc w:val="both"/>
      </w:pPr>
      <w:r>
        <w:rPr>
          <w:rFonts w:ascii="Times New Roman"/>
          <w:b w:val="false"/>
          <w:i w:val="false"/>
          <w:color w:val="000000"/>
          <w:sz w:val="28"/>
        </w:rPr>
        <w:t>     в строке "Всего":</w:t>
      </w:r>
    </w:p>
    <w:p>
      <w:pPr>
        <w:spacing w:after="0"/>
        <w:ind w:left="0"/>
        <w:jc w:val="both"/>
      </w:pPr>
      <w:r>
        <w:rPr>
          <w:rFonts w:ascii="Times New Roman"/>
          <w:b w:val="false"/>
          <w:i w:val="false"/>
          <w:color w:val="000000"/>
          <w:sz w:val="28"/>
        </w:rPr>
        <w:t>     в графе 6 цифру "55,50" заменить цифрой "85,79";</w:t>
      </w:r>
    </w:p>
    <w:p>
      <w:pPr>
        <w:spacing w:after="0"/>
        <w:ind w:left="0"/>
        <w:jc w:val="both"/>
      </w:pPr>
      <w:r>
        <w:rPr>
          <w:rFonts w:ascii="Times New Roman"/>
          <w:b w:val="false"/>
          <w:i w:val="false"/>
          <w:color w:val="000000"/>
          <w:sz w:val="28"/>
        </w:rPr>
        <w:t>     в графе 11 цифру "49,68" заменить цифрой "79,97";</w:t>
      </w:r>
    </w:p>
    <w:p>
      <w:pPr>
        <w:spacing w:after="0"/>
        <w:ind w:left="0"/>
        <w:jc w:val="both"/>
      </w:pPr>
      <w:r>
        <w:rPr>
          <w:rFonts w:ascii="Times New Roman"/>
          <w:b w:val="false"/>
          <w:i w:val="false"/>
          <w:color w:val="000000"/>
          <w:sz w:val="28"/>
        </w:rPr>
        <w:t>     в строке "заем МБРР":</w:t>
      </w:r>
    </w:p>
    <w:p>
      <w:pPr>
        <w:spacing w:after="0"/>
        <w:ind w:left="0"/>
        <w:jc w:val="both"/>
      </w:pPr>
      <w:r>
        <w:rPr>
          <w:rFonts w:ascii="Times New Roman"/>
          <w:b w:val="false"/>
          <w:i w:val="false"/>
          <w:color w:val="000000"/>
          <w:sz w:val="28"/>
        </w:rPr>
        <w:t>     в графе 6 цифру "50,00" заменить цифрой "64,50";</w:t>
      </w:r>
    </w:p>
    <w:p>
      <w:pPr>
        <w:spacing w:after="0"/>
        <w:ind w:left="0"/>
        <w:jc w:val="both"/>
      </w:pPr>
      <w:r>
        <w:rPr>
          <w:rFonts w:ascii="Times New Roman"/>
          <w:b w:val="false"/>
          <w:i w:val="false"/>
          <w:color w:val="000000"/>
          <w:sz w:val="28"/>
        </w:rPr>
        <w:t>     в графе 11 цифру "45,20" заменить цифрой "59,70";</w:t>
      </w:r>
    </w:p>
    <w:p>
      <w:pPr>
        <w:spacing w:after="0"/>
        <w:ind w:left="0"/>
        <w:jc w:val="both"/>
      </w:pPr>
      <w:r>
        <w:rPr>
          <w:rFonts w:ascii="Times New Roman"/>
          <w:b w:val="false"/>
          <w:i w:val="false"/>
          <w:color w:val="000000"/>
          <w:sz w:val="28"/>
        </w:rPr>
        <w:t>     в строке "республиканский бюджет":</w:t>
      </w:r>
    </w:p>
    <w:p>
      <w:pPr>
        <w:spacing w:after="0"/>
        <w:ind w:left="0"/>
        <w:jc w:val="both"/>
      </w:pPr>
      <w:r>
        <w:rPr>
          <w:rFonts w:ascii="Times New Roman"/>
          <w:b w:val="false"/>
          <w:i w:val="false"/>
          <w:color w:val="000000"/>
          <w:sz w:val="28"/>
        </w:rPr>
        <w:t>     в графе 6 цифру "5,50" заменить цифрой "21,29";</w:t>
      </w:r>
    </w:p>
    <w:p>
      <w:pPr>
        <w:spacing w:after="0"/>
        <w:ind w:left="0"/>
        <w:jc w:val="both"/>
      </w:pPr>
      <w:r>
        <w:rPr>
          <w:rFonts w:ascii="Times New Roman"/>
          <w:b w:val="false"/>
          <w:i w:val="false"/>
          <w:color w:val="000000"/>
          <w:sz w:val="28"/>
        </w:rPr>
        <w:t>     в графе 11 цифру "4,48" заменить цифрой "20,27";</w:t>
      </w:r>
    </w:p>
    <w:p>
      <w:pPr>
        <w:spacing w:after="0"/>
        <w:ind w:left="0"/>
        <w:jc w:val="both"/>
      </w:pPr>
      <w:r>
        <w:rPr>
          <w:rFonts w:ascii="Times New Roman"/>
          <w:b w:val="false"/>
          <w:i w:val="false"/>
          <w:color w:val="000000"/>
          <w:sz w:val="28"/>
        </w:rPr>
        <w:t>     в итоговом разделе:</w:t>
      </w:r>
    </w:p>
    <w:p>
      <w:pPr>
        <w:spacing w:after="0"/>
        <w:ind w:left="0"/>
        <w:jc w:val="both"/>
      </w:pPr>
      <w:r>
        <w:rPr>
          <w:rFonts w:ascii="Times New Roman"/>
          <w:b w:val="false"/>
          <w:i w:val="false"/>
          <w:color w:val="000000"/>
          <w:sz w:val="28"/>
        </w:rPr>
        <w:t>     в строке "Всего":</w:t>
      </w:r>
    </w:p>
    <w:p>
      <w:pPr>
        <w:spacing w:after="0"/>
        <w:ind w:left="0"/>
        <w:jc w:val="both"/>
      </w:pPr>
      <w:r>
        <w:rPr>
          <w:rFonts w:ascii="Times New Roman"/>
          <w:b w:val="false"/>
          <w:i w:val="false"/>
          <w:color w:val="000000"/>
          <w:sz w:val="28"/>
        </w:rPr>
        <w:t>     в графе 6 цифру "2520,05" заменить цифрой "2550,34";</w:t>
      </w:r>
    </w:p>
    <w:p>
      <w:pPr>
        <w:spacing w:after="0"/>
        <w:ind w:left="0"/>
        <w:jc w:val="both"/>
      </w:pPr>
      <w:r>
        <w:rPr>
          <w:rFonts w:ascii="Times New Roman"/>
          <w:b w:val="false"/>
          <w:i w:val="false"/>
          <w:color w:val="000000"/>
          <w:sz w:val="28"/>
        </w:rPr>
        <w:t>     в графе 11 цифру "900,94" заменить цифрой "931,23";</w:t>
      </w:r>
    </w:p>
    <w:p>
      <w:pPr>
        <w:spacing w:after="0"/>
        <w:ind w:left="0"/>
        <w:jc w:val="both"/>
      </w:pPr>
      <w:r>
        <w:rPr>
          <w:rFonts w:ascii="Times New Roman"/>
          <w:b w:val="false"/>
          <w:i w:val="false"/>
          <w:color w:val="000000"/>
          <w:sz w:val="28"/>
        </w:rPr>
        <w:t>     в строке "Всего из внешних источников":</w:t>
      </w:r>
    </w:p>
    <w:p>
      <w:pPr>
        <w:spacing w:after="0"/>
        <w:ind w:left="0"/>
        <w:jc w:val="both"/>
      </w:pPr>
      <w:r>
        <w:rPr>
          <w:rFonts w:ascii="Times New Roman"/>
          <w:b w:val="false"/>
          <w:i w:val="false"/>
          <w:color w:val="000000"/>
          <w:sz w:val="28"/>
        </w:rPr>
        <w:t>     в графе 6 цифру "2067,96" заменить цифрой "2082,46";</w:t>
      </w:r>
    </w:p>
    <w:p>
      <w:pPr>
        <w:spacing w:after="0"/>
        <w:ind w:left="0"/>
        <w:jc w:val="both"/>
      </w:pPr>
      <w:r>
        <w:rPr>
          <w:rFonts w:ascii="Times New Roman"/>
          <w:b w:val="false"/>
          <w:i w:val="false"/>
          <w:color w:val="000000"/>
          <w:sz w:val="28"/>
        </w:rPr>
        <w:t>     в графе 11 цифру "776,08" заменить цифрой "790,58";</w:t>
      </w:r>
    </w:p>
    <w:p>
      <w:pPr>
        <w:spacing w:after="0"/>
        <w:ind w:left="0"/>
        <w:jc w:val="both"/>
      </w:pPr>
      <w:r>
        <w:rPr>
          <w:rFonts w:ascii="Times New Roman"/>
          <w:b w:val="false"/>
          <w:i w:val="false"/>
          <w:color w:val="000000"/>
          <w:sz w:val="28"/>
        </w:rPr>
        <w:t>     в строке "займы":</w:t>
      </w:r>
    </w:p>
    <w:p>
      <w:pPr>
        <w:spacing w:after="0"/>
        <w:ind w:left="0"/>
        <w:jc w:val="both"/>
      </w:pPr>
      <w:r>
        <w:rPr>
          <w:rFonts w:ascii="Times New Roman"/>
          <w:b w:val="false"/>
          <w:i w:val="false"/>
          <w:color w:val="000000"/>
          <w:sz w:val="28"/>
        </w:rPr>
        <w:t>     в графе 6 цифру "1881,39" заменить цифрой "1895,89";</w:t>
      </w:r>
    </w:p>
    <w:p>
      <w:pPr>
        <w:spacing w:after="0"/>
        <w:ind w:left="0"/>
        <w:jc w:val="both"/>
      </w:pPr>
      <w:r>
        <w:rPr>
          <w:rFonts w:ascii="Times New Roman"/>
          <w:b w:val="false"/>
          <w:i w:val="false"/>
          <w:color w:val="000000"/>
          <w:sz w:val="28"/>
        </w:rPr>
        <w:t>     в графе 11 цифру "750,81" заменить цифрой "765,31";</w:t>
      </w:r>
    </w:p>
    <w:p>
      <w:pPr>
        <w:spacing w:after="0"/>
        <w:ind w:left="0"/>
        <w:jc w:val="both"/>
      </w:pPr>
      <w:r>
        <w:rPr>
          <w:rFonts w:ascii="Times New Roman"/>
          <w:b w:val="false"/>
          <w:i w:val="false"/>
          <w:color w:val="000000"/>
          <w:sz w:val="28"/>
        </w:rPr>
        <w:t>     в строке "Всего из внутренних источников":</w:t>
      </w:r>
    </w:p>
    <w:p>
      <w:pPr>
        <w:spacing w:after="0"/>
        <w:ind w:left="0"/>
        <w:jc w:val="both"/>
      </w:pPr>
      <w:r>
        <w:rPr>
          <w:rFonts w:ascii="Times New Roman"/>
          <w:b w:val="false"/>
          <w:i w:val="false"/>
          <w:color w:val="000000"/>
          <w:sz w:val="28"/>
        </w:rPr>
        <w:t>     в графе 6 цифру "452,09" заменить цифрой "467,88";</w:t>
      </w:r>
    </w:p>
    <w:p>
      <w:pPr>
        <w:spacing w:after="0"/>
        <w:ind w:left="0"/>
        <w:jc w:val="both"/>
      </w:pPr>
      <w:r>
        <w:rPr>
          <w:rFonts w:ascii="Times New Roman"/>
          <w:b w:val="false"/>
          <w:i w:val="false"/>
          <w:color w:val="000000"/>
          <w:sz w:val="28"/>
        </w:rPr>
        <w:t>     в графе 11 цифру "124,86" заменить цифрой "140,65";</w:t>
      </w:r>
    </w:p>
    <w:p>
      <w:pPr>
        <w:spacing w:after="0"/>
        <w:ind w:left="0"/>
        <w:jc w:val="both"/>
      </w:pPr>
      <w:r>
        <w:rPr>
          <w:rFonts w:ascii="Times New Roman"/>
          <w:b w:val="false"/>
          <w:i w:val="false"/>
          <w:color w:val="000000"/>
          <w:sz w:val="28"/>
        </w:rPr>
        <w:t>     в строке "республиканский бюджет":</w:t>
      </w:r>
    </w:p>
    <w:p>
      <w:pPr>
        <w:spacing w:after="0"/>
        <w:ind w:left="0"/>
        <w:jc w:val="both"/>
      </w:pPr>
      <w:r>
        <w:rPr>
          <w:rFonts w:ascii="Times New Roman"/>
          <w:b w:val="false"/>
          <w:i w:val="false"/>
          <w:color w:val="000000"/>
          <w:sz w:val="28"/>
        </w:rPr>
        <w:t>     в графе 6 цифру "446,23" заменить цифрой "462,02";</w:t>
      </w:r>
    </w:p>
    <w:p>
      <w:pPr>
        <w:spacing w:after="0"/>
        <w:ind w:left="0"/>
        <w:jc w:val="both"/>
      </w:pPr>
      <w:r>
        <w:rPr>
          <w:rFonts w:ascii="Times New Roman"/>
          <w:b w:val="false"/>
          <w:i w:val="false"/>
          <w:color w:val="000000"/>
          <w:sz w:val="28"/>
        </w:rPr>
        <w:t>     в графе 11 цифру "124,86" заменить цифрой "140,65".</w:t>
      </w:r>
    </w:p>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Заместителя Премьер-Министра Республики Казахстан Джандосова У. А.</w:t>
      </w:r>
    </w:p>
    <w:p>
      <w:pPr>
        <w:spacing w:after="0"/>
        <w:ind w:left="0"/>
        <w:jc w:val="both"/>
      </w:pPr>
      <w:r>
        <w:rPr>
          <w:rFonts w:ascii="Times New Roman"/>
          <w:b w:val="false"/>
          <w:i w:val="false"/>
          <w:color w:val="000000"/>
          <w:sz w:val="28"/>
        </w:rPr>
        <w:t>     6.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4609 KZ</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(Проект "Регулирование русла реки Сырдарьи и сохранение</w:t>
      </w:r>
    </w:p>
    <w:p>
      <w:pPr>
        <w:spacing w:after="0"/>
        <w:ind w:left="0"/>
        <w:jc w:val="both"/>
      </w:pPr>
      <w:r>
        <w:rPr>
          <w:rFonts w:ascii="Times New Roman"/>
          <w:b w:val="false"/>
          <w:i w:val="false"/>
          <w:color w:val="000000"/>
          <w:sz w:val="28"/>
        </w:rPr>
        <w:t>               северной части Аральского моря (фаза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между</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Республикой Казахстан </w:t>
      </w:r>
      <w:r>
        <w:br/>
      </w:r>
      <w:r>
        <w:rPr>
          <w:rFonts w:ascii="Times New Roman"/>
          <w:b w:val="false"/>
          <w:i w:val="false"/>
          <w:color w:val="000000"/>
          <w:sz w:val="28"/>
        </w:rPr>
        <w:t xml:space="preserve">
                                   и </w:t>
      </w:r>
      <w:r>
        <w:br/>
      </w:r>
      <w:r>
        <w:rPr>
          <w:rFonts w:ascii="Times New Roman"/>
          <w:b w:val="false"/>
          <w:i w:val="false"/>
          <w:color w:val="000000"/>
          <w:sz w:val="28"/>
        </w:rPr>
        <w:t xml:space="preserve">
              Международным Банком Реконструкции и Развития </w:t>
      </w:r>
      <w:r>
        <w:br/>
      </w:r>
      <w:r>
        <w:rPr>
          <w:rFonts w:ascii="Times New Roman"/>
          <w:b w:val="false"/>
          <w:i w:val="false"/>
          <w:color w:val="000000"/>
          <w:sz w:val="28"/>
        </w:rPr>
        <w:t xml:space="preserve">
                       от "___"_________ 2001 года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Номер займа 4609 KZ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Соглашение от 2001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Заемщик, убедившись в выполнимости и приоритетности проекта, описание которого приводится в приложении 2 к настоящему Соглашению (Проект), обратился в Банк с просьбой оказать помощь в финансировании Проекта; и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Банк дал согласие на основании, среди прочего, вышеизложенного, предоставить Заемщику Заем на условиях и положениях, излагаемых в настоящем Соглашении; </w:t>
      </w:r>
      <w:r>
        <w:br/>
      </w:r>
      <w:r>
        <w:rPr>
          <w:rFonts w:ascii="Times New Roman"/>
          <w:b w:val="false"/>
          <w:i w:val="false"/>
          <w:color w:val="000000"/>
          <w:sz w:val="28"/>
        </w:rPr>
        <w:t xml:space="preserve">
      Исходя из вышеизложенного, </w:t>
      </w:r>
      <w:r>
        <w:br/>
      </w:r>
      <w:r>
        <w:rPr>
          <w:rFonts w:ascii="Times New Roman"/>
          <w:b w:val="false"/>
          <w:i w:val="false"/>
          <w:color w:val="000000"/>
          <w:sz w:val="28"/>
        </w:rPr>
        <w:t xml:space="preserve">
      Стороны в настоящем Соглашении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w:t>
      </w:r>
      <w:r>
        <w:br/>
      </w:r>
      <w:r>
        <w:rPr>
          <w:rFonts w:ascii="Times New Roman"/>
          <w:b w:val="false"/>
          <w:i w:val="false"/>
          <w:color w:val="000000"/>
          <w:sz w:val="28"/>
        </w:rPr>
        <w:t xml:space="preserve">
      "Общие условия, применяемые к Соглашениям о Займе и Гарантии по Займам в единой валюте" Банка от 30 мая 1995 года с поправками, внесенными по 6 октября 1999 г. включительно (Общие условия), являются составной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xml:space="preserve">
      Если из контекста не следует иное, то ряд терминов, определение которых дается в Общих условиях, имеют соответственно значения, указываемые в них, и следующие дополнительные термины имеют следующие значения: </w:t>
      </w:r>
      <w:r>
        <w:br/>
      </w:r>
      <w:r>
        <w:rPr>
          <w:rFonts w:ascii="Times New Roman"/>
          <w:b w:val="false"/>
          <w:i w:val="false"/>
          <w:color w:val="000000"/>
          <w:sz w:val="28"/>
        </w:rPr>
        <w:t xml:space="preserve">
      (a) "КГВ" означает Консультативную группу по бассейнам, учреждаемую Заемщиком в соответствии с пунктом 6 приложения 5 к настоящему Соглашению. </w:t>
      </w:r>
      <w:r>
        <w:br/>
      </w:r>
      <w:r>
        <w:rPr>
          <w:rFonts w:ascii="Times New Roman"/>
          <w:b w:val="false"/>
          <w:i w:val="false"/>
          <w:color w:val="000000"/>
          <w:sz w:val="28"/>
        </w:rPr>
        <w:t xml:space="preserve">
      (b) "KBP" означает Комитет по водным ресурсам Министерства природных ресурсов и охраны окружающей среды Заемщика, который осуществляет Проект; </w:t>
      </w:r>
      <w:r>
        <w:br/>
      </w:r>
      <w:r>
        <w:rPr>
          <w:rFonts w:ascii="Times New Roman"/>
          <w:b w:val="false"/>
          <w:i w:val="false"/>
          <w:color w:val="000000"/>
          <w:sz w:val="28"/>
        </w:rPr>
        <w:t xml:space="preserve">
      (c) "Приемлемые категории" означают категории (1) и (2), излагаемые в таблице части А.1 приложения 1 к настоящему Соглашению. </w:t>
      </w:r>
      <w:r>
        <w:br/>
      </w:r>
      <w:r>
        <w:rPr>
          <w:rFonts w:ascii="Times New Roman"/>
          <w:b w:val="false"/>
          <w:i w:val="false"/>
          <w:color w:val="000000"/>
          <w:sz w:val="28"/>
        </w:rPr>
        <w:t xml:space="preserve">
      (d) "Приемлемые расходы" означают расходы на товары и работы, о которых говорится в разделе 2.02 настоящего Соглашения. </w:t>
      </w:r>
      <w:r>
        <w:br/>
      </w:r>
      <w:r>
        <w:rPr>
          <w:rFonts w:ascii="Times New Roman"/>
          <w:b w:val="false"/>
          <w:i w:val="false"/>
          <w:color w:val="000000"/>
          <w:sz w:val="28"/>
        </w:rPr>
        <w:t xml:space="preserve">
      (e) "ПООС" означает План охраны окружающей среды, приемлемый для Банка, подготовленный и принятый Заемщиком 14 февраля 2001 года, в котором дается описание ослабления охраны окружающей среды, текущего контроля, и институциональных мер согласно Проекту, о котором говорится в приложении 5 к настоящему Соглашению. </w:t>
      </w:r>
      <w:r>
        <w:br/>
      </w:r>
      <w:r>
        <w:rPr>
          <w:rFonts w:ascii="Times New Roman"/>
          <w:b w:val="false"/>
          <w:i w:val="false"/>
          <w:color w:val="000000"/>
          <w:sz w:val="28"/>
        </w:rPr>
        <w:t xml:space="preserve">
      (f) "MKK" означает Межведомственный координационный комитет, создаваемый Заемщиком в соответствии с пунктом 4 приложения 5 к настоящему Соглашению. </w:t>
      </w:r>
      <w:r>
        <w:br/>
      </w:r>
      <w:r>
        <w:rPr>
          <w:rFonts w:ascii="Times New Roman"/>
          <w:b w:val="false"/>
          <w:i w:val="false"/>
          <w:color w:val="000000"/>
          <w:sz w:val="28"/>
        </w:rPr>
        <w:t xml:space="preserve">
      (g) "НГЭДЧ" означает Независимую группу экспертов по дамбе "Чардара", создаваемую Заемщиком в соответствии с пунктом 7 приложения 5 к настоящему Соглашению. </w:t>
      </w:r>
      <w:r>
        <w:br/>
      </w:r>
      <w:r>
        <w:rPr>
          <w:rFonts w:ascii="Times New Roman"/>
          <w:b w:val="false"/>
          <w:i w:val="false"/>
          <w:color w:val="000000"/>
          <w:sz w:val="28"/>
        </w:rPr>
        <w:t xml:space="preserve">
      (h) "МЭМР" означает Министерство энергетики и минеральных ресурсов Заемщика или любой его правопреемник; </w:t>
      </w:r>
      <w:r>
        <w:br/>
      </w:r>
      <w:r>
        <w:rPr>
          <w:rFonts w:ascii="Times New Roman"/>
          <w:b w:val="false"/>
          <w:i w:val="false"/>
          <w:color w:val="000000"/>
          <w:sz w:val="28"/>
        </w:rPr>
        <w:t xml:space="preserve">
      (i) "МЭТ" означает Министерство экономики и торговли Заемщика или любой его правопреемник; </w:t>
      </w:r>
      <w:r>
        <w:br/>
      </w:r>
      <w:r>
        <w:rPr>
          <w:rFonts w:ascii="Times New Roman"/>
          <w:b w:val="false"/>
          <w:i w:val="false"/>
          <w:color w:val="000000"/>
          <w:sz w:val="28"/>
        </w:rPr>
        <w:t xml:space="preserve">
      (j) "МПРООС" означает Министерство природных ресурсов и охраны окружающей среды Заемщика или любой его правопреемник; </w:t>
      </w:r>
      <w:r>
        <w:br/>
      </w:r>
      <w:r>
        <w:rPr>
          <w:rFonts w:ascii="Times New Roman"/>
          <w:b w:val="false"/>
          <w:i w:val="false"/>
          <w:color w:val="000000"/>
          <w:sz w:val="28"/>
        </w:rPr>
        <w:t xml:space="preserve">
      (k) "МФ" означает Министерство финансов Заемщика или любой его правопреемник; </w:t>
      </w:r>
      <w:r>
        <w:br/>
      </w:r>
      <w:r>
        <w:rPr>
          <w:rFonts w:ascii="Times New Roman"/>
          <w:b w:val="false"/>
          <w:i w:val="false"/>
          <w:color w:val="000000"/>
          <w:sz w:val="28"/>
        </w:rPr>
        <w:t xml:space="preserve">
      (l) "Отчет об управлении Проектом" означает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(m) "Группа по руководству Проектом" означает группу по руководству Проектом в составе Комитета по водным ресурсам, которая несет общую ответственность за подготовку, выполнение и координацию проекта; </w:t>
      </w:r>
      <w:r>
        <w:br/>
      </w:r>
      <w:r>
        <w:rPr>
          <w:rFonts w:ascii="Times New Roman"/>
          <w:b w:val="false"/>
          <w:i w:val="false"/>
          <w:color w:val="000000"/>
          <w:sz w:val="28"/>
        </w:rPr>
        <w:t xml:space="preserve">
      (n) "КУП" означает Комитет по управлению Проектом, учреждаемый Заемщиком в соответствии с пунктом 5 приложения 5 к настоящему Соглашению; </w:t>
      </w:r>
      <w:r>
        <w:br/>
      </w:r>
      <w:r>
        <w:rPr>
          <w:rFonts w:ascii="Times New Roman"/>
          <w:b w:val="false"/>
          <w:i w:val="false"/>
          <w:color w:val="000000"/>
          <w:sz w:val="28"/>
        </w:rPr>
        <w:t xml:space="preserve">
      (о) "Ссуда на подготовку Проекта" означает ссуду на подготовку проекта, предоставленную Банком Заемщику в соответствии с письмом - соглашением, подписанным от имени Банка 1 февраля 2000 года и от имени Заемщика 3 февраля 2000 года; и </w:t>
      </w:r>
      <w:r>
        <w:br/>
      </w:r>
      <w:r>
        <w:rPr>
          <w:rFonts w:ascii="Times New Roman"/>
          <w:b w:val="false"/>
          <w:i w:val="false"/>
          <w:color w:val="000000"/>
          <w:sz w:val="28"/>
        </w:rPr>
        <w:t xml:space="preserve">
      (р) "Специальный счет" означает счет, о котором говорится в части В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1.03 </w:t>
      </w:r>
      <w:r>
        <w:br/>
      </w:r>
      <w:r>
        <w:rPr>
          <w:rFonts w:ascii="Times New Roman"/>
          <w:b w:val="false"/>
          <w:i w:val="false"/>
          <w:color w:val="000000"/>
          <w:sz w:val="28"/>
        </w:rPr>
        <w:t xml:space="preserve">
      Каждая ссылка в общих условиях на организацию-исполнителя Проекта считается ссылкой на КВР.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w:t>
      </w:r>
      <w:r>
        <w:br/>
      </w:r>
      <w:r>
        <w:rPr>
          <w:rFonts w:ascii="Times New Roman"/>
          <w:b w:val="false"/>
          <w:i w:val="false"/>
          <w:color w:val="000000"/>
          <w:sz w:val="28"/>
        </w:rPr>
        <w:t xml:space="preserve">
      Банк дает согласие на предоставление Заемщику на условиях и положениях, излагаемых в Соглашении о Займе или о которых говорится в нем, суммы, равной шестидесяти четырем миллионам пятистам тысячам долларам США (64,500,000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xml:space="preserve">
      (а) Сумма Займа может сниматься со счета Займа в соответствии с положениями приложения 1 к настоящему Соглашению о Займе на расходы, которые понесены (или, если Банк на то согласен, предстоят) в отношении соответствующей стоимости товаров и работ, требующихся для Проекта и финансируемых из средств Займа, в отношении процентов и других платежей по Займу и в отношении комиссионного сбора, о котором говорится в разделе </w:t>
      </w:r>
      <w:r>
        <w:br/>
      </w:r>
      <w:r>
        <w:rPr>
          <w:rFonts w:ascii="Times New Roman"/>
          <w:b w:val="false"/>
          <w:i w:val="false"/>
          <w:color w:val="000000"/>
          <w:sz w:val="28"/>
        </w:rPr>
        <w:t xml:space="preserve">
2.04 настоящего Соглашения. </w:t>
      </w:r>
      <w:r>
        <w:br/>
      </w:r>
      <w:r>
        <w:rPr>
          <w:rFonts w:ascii="Times New Roman"/>
          <w:b w:val="false"/>
          <w:i w:val="false"/>
          <w:color w:val="000000"/>
          <w:sz w:val="28"/>
        </w:rPr>
        <w:t xml:space="preserve">
      (b) Немедленно после даты вступления Соглашения в силу Банк от имени Заемщика снимает со счета Займа и выплачивает самому себе сумму, требующуюся для погашения основной суммы ссуды на подготовку Проекта, снимаемую со счета и по которой на такую дату существуют не предъявленные к платежу суммы и осуществления всех не осуществленных по ней платежей. Не снятый со счета остаток, разрешенный к использованию суммы ссуды на подготовку Проекта, после этого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xml:space="preserve">
      Заключительной датой использования средств Займа является 28 февраля 2007 года или более поздняя дата, которую определит Банк. Банк немедленно уведомляет Заемщика о такой более поздней дате.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xml:space="preserve">
      Заемщик уплачивает Банку комиссионный сбор в сумме, составляющей один процент (1%) от суммы Займа. В день вступления Соглашения в силу или немедленно после такого дня Банк от имени Заемщика снимает со счета Займа и выплачивает самому себе сумму вышеназванного комиссионного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2.05 </w:t>
      </w:r>
      <w:r>
        <w:br/>
      </w:r>
      <w:r>
        <w:rPr>
          <w:rFonts w:ascii="Times New Roman"/>
          <w:b w:val="false"/>
          <w:i w:val="false"/>
          <w:color w:val="000000"/>
          <w:sz w:val="28"/>
        </w:rPr>
        <w:t xml:space="preserve">
      Заемщик уплачивает Банку комиссионные за обязательство предоставить кредит по ставке три четвертых от одного процента (3/4 от 1%) в год по основной сумме Займа, не снятой со счета на данный момент.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2.06 </w:t>
      </w:r>
      <w:r>
        <w:br/>
      </w:r>
      <w:r>
        <w:rPr>
          <w:rFonts w:ascii="Times New Roman"/>
          <w:b w:val="false"/>
          <w:i w:val="false"/>
          <w:color w:val="000000"/>
          <w:sz w:val="28"/>
        </w:rPr>
        <w:t xml:space="preserve">
      (a) Заемщик уплачивает проценты по основной сумме Займа, которая снимается со счета и по которой в то или иное время существуют не предъявленные к платежу суммы по ставке за каждый период, за который начисляются проценты, равной базовой ставке ЛИБОР плюс суммарный спред ЛИБОР. </w:t>
      </w:r>
      <w:r>
        <w:br/>
      </w:r>
      <w:r>
        <w:rPr>
          <w:rFonts w:ascii="Times New Roman"/>
          <w:b w:val="false"/>
          <w:i w:val="false"/>
          <w:color w:val="000000"/>
          <w:sz w:val="28"/>
        </w:rPr>
        <w:t xml:space="preserve">
      (b) Для целей настоящего раздела: </w:t>
      </w:r>
      <w:r>
        <w:br/>
      </w:r>
      <w:r>
        <w:rPr>
          <w:rFonts w:ascii="Times New Roman"/>
          <w:b w:val="false"/>
          <w:i w:val="false"/>
          <w:color w:val="000000"/>
          <w:sz w:val="28"/>
        </w:rPr>
        <w:t xml:space="preserve">
      (i) "Период, за который начисляются проценты" означает первоначальный период, начиная с даты настоящего Соглашения и включительно, до первой даты уплаты процентов, наступающей затем, не включая такую дату уплаты процентов, и после первоначального периода - каждый период, начиная с даты уплаты процентов включительно, до следующей даты уплаты процентов, не включая такую дату процентов. </w:t>
      </w:r>
      <w:r>
        <w:br/>
      </w:r>
      <w:r>
        <w:rPr>
          <w:rFonts w:ascii="Times New Roman"/>
          <w:b w:val="false"/>
          <w:i w:val="false"/>
          <w:color w:val="000000"/>
          <w:sz w:val="28"/>
        </w:rPr>
        <w:t xml:space="preserve">
      (ii) "Дата уплаты процентов" означает любую дату, указываемую в разделе 2.07 настоящего Соглашения. </w:t>
      </w:r>
      <w:r>
        <w:br/>
      </w:r>
      <w:r>
        <w:rPr>
          <w:rFonts w:ascii="Times New Roman"/>
          <w:b w:val="false"/>
          <w:i w:val="false"/>
          <w:color w:val="000000"/>
          <w:sz w:val="28"/>
        </w:rPr>
        <w:t xml:space="preserve">
      (iii) "Базовая ставка ЛИБОР" в отношении каждого периода, за который начисляются проценты, означает ставку продавца на Лондонском межбанковском рынке депозитов со сроком в шесть месяцев в долларах США к оценке в первый день такого периода, за который начисляются проценты (или - в случае, когда речь идет о первоначальном периоде, за который начисляются проценты - к оценке в день - дату уплаты процентов, наступающий в первый день такого периода, за который начисляются проценты или в следующий за такой датой день такого периода, за который начисляются проценты), которая обоснованно определяется Банком и выражается в процентах в год. </w:t>
      </w:r>
      <w:r>
        <w:br/>
      </w:r>
      <w:r>
        <w:rPr>
          <w:rFonts w:ascii="Times New Roman"/>
          <w:b w:val="false"/>
          <w:i w:val="false"/>
          <w:color w:val="000000"/>
          <w:sz w:val="28"/>
        </w:rPr>
        <w:t xml:space="preserve">
      (iv) "Суммарный спред ЛИБОР" в отношении каждого периода, за который начисляются проценты, означает: </w:t>
      </w:r>
      <w:r>
        <w:br/>
      </w:r>
      <w:r>
        <w:rPr>
          <w:rFonts w:ascii="Times New Roman"/>
          <w:b w:val="false"/>
          <w:i w:val="false"/>
          <w:color w:val="000000"/>
          <w:sz w:val="28"/>
        </w:rPr>
        <w:t xml:space="preserve">
      (A) три четвертых от одного процента (3/4 от 1%); </w:t>
      </w:r>
      <w:r>
        <w:br/>
      </w:r>
      <w:r>
        <w:rPr>
          <w:rFonts w:ascii="Times New Roman"/>
          <w:b w:val="false"/>
          <w:i w:val="false"/>
          <w:color w:val="000000"/>
          <w:sz w:val="28"/>
        </w:rPr>
        <w:t xml:space="preserve">
      (B) минус (или плюс) средневзвешенная маржа за такой период, за который начисляются проценты, ниже (или выше) ставок продавцов на Лондонском межбанковском рынке депозитов или иных ставок-ориентиров для депозитов со сроком шесть месяцев в отношении займов Банка, по которым существуют не предъявленные к платежу суммы или частей таких займов, отчисляемых Банком на финансирование займов в единой валюте или их частей, предоставляемых им, которые включают Заем, как это обоснованно определяется Банком и выражается в процентах в год. </w:t>
      </w:r>
      <w:r>
        <w:br/>
      </w:r>
      <w:r>
        <w:rPr>
          <w:rFonts w:ascii="Times New Roman"/>
          <w:b w:val="false"/>
          <w:i w:val="false"/>
          <w:color w:val="000000"/>
          <w:sz w:val="28"/>
        </w:rPr>
        <w:t xml:space="preserve">
      (c) Банк уведомляет Заемщика о базовой ставке ЛИБОР и суммарном спреде ЛИБОР за каждый период, за который начисляются проценты, немедленно после их определения. </w:t>
      </w:r>
      <w:r>
        <w:br/>
      </w:r>
      <w:r>
        <w:rPr>
          <w:rFonts w:ascii="Times New Roman"/>
          <w:b w:val="false"/>
          <w:i w:val="false"/>
          <w:color w:val="000000"/>
          <w:sz w:val="28"/>
        </w:rPr>
        <w:t xml:space="preserve">
      (d) Каждый раз, когда в свете изменений в рыночной практике, влияющих на определение процентных ставок, о которых говорится в настоящем разделе 2.06, Банк определяет, что в интересах его заемщиков в целом и Банка, применение основы для определения процентных ставок, применяемых к Займу, отличной от основы, предусматриваемой в вышеназванном разделе, Банк может изменить основу для определения процентных ставок, применяемых к Займу, уведомив не менее чем за шесть (6) месяцев Заемщика о новой основе. Основа вступает в силу после истечения периода времени, предусмотренного для уведомления, если Заемщик в течение указанного периода времени не уведомит Банк о своем возражении против такой основы - случай, в котором вышеназванное изменение не применяется к Займу.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2.07 </w:t>
      </w:r>
      <w:r>
        <w:br/>
      </w:r>
      <w:r>
        <w:rPr>
          <w:rFonts w:ascii="Times New Roman"/>
          <w:b w:val="false"/>
          <w:i w:val="false"/>
          <w:color w:val="000000"/>
          <w:sz w:val="28"/>
        </w:rPr>
        <w:t xml:space="preserve">
      Проценты и иные платежи по Займу подлежат уплате и осуществлению один раз в полгода - 15 февраля и 15 августа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2.08 </w:t>
      </w:r>
      <w:r>
        <w:br/>
      </w:r>
      <w:r>
        <w:rPr>
          <w:rFonts w:ascii="Times New Roman"/>
          <w:b w:val="false"/>
          <w:i w:val="false"/>
          <w:color w:val="000000"/>
          <w:sz w:val="28"/>
        </w:rPr>
        <w:t xml:space="preserve">
      Заемщик погашает основную сумму Займа в соответствии с графиком постепенного погашения долга, который приводится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Выполнение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w:t>
      </w:r>
      <w:r>
        <w:br/>
      </w:r>
      <w:r>
        <w:rPr>
          <w:rFonts w:ascii="Times New Roman"/>
          <w:b w:val="false"/>
          <w:i w:val="false"/>
          <w:color w:val="000000"/>
          <w:sz w:val="28"/>
        </w:rPr>
        <w:t xml:space="preserve">
      (a) Заемщик объявляет о своей приверженности целям Проекта и с этой целью выполняет Проект через КВР с соблюдением существующих требований и достижением намеченных результатов согласно соответствующей административной, финансовой, инженерно-технической и природоохранной практике и немедленно, по мере надобности, предоставляет средства, оборудование и помещения, услуги и другие ресурсы, требующиеся для реализации Проекта, и без ограничения или умаления любых других обязательств в соответствии с Соглашением о Займе. </w:t>
      </w:r>
      <w:r>
        <w:br/>
      </w:r>
      <w:r>
        <w:rPr>
          <w:rFonts w:ascii="Times New Roman"/>
          <w:b w:val="false"/>
          <w:i w:val="false"/>
          <w:color w:val="000000"/>
          <w:sz w:val="28"/>
        </w:rPr>
        <w:t xml:space="preserve">
      (b) Без ограничения положений пункта (а) настоящего раздела и кроме случаев, когда между Заемщиком и Банком существует иная договоренность, Заемщик выполняет Проект через КВР в соответствии с программой выполнения Проекта, излагаемой в приложении 5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xml:space="preserve">
      Если Банк не принял иного решения, закупки товаров и работ, необходимых для выполнения Проекта и финансируемых из средств Займа, регулируется положениями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Положения об управлении финансовой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w:t>
      </w:r>
      <w:r>
        <w:br/>
      </w:r>
      <w:r>
        <w:rPr>
          <w:rFonts w:ascii="Times New Roman"/>
          <w:b w:val="false"/>
          <w:i w:val="false"/>
          <w:color w:val="000000"/>
          <w:sz w:val="28"/>
        </w:rPr>
        <w:t xml:space="preserve">
      (a) Заемщик ведет или обеспечивает ведение системы управления финансовой деятельностью, включая документы учета и счета, и подготавливает финансовые отчеты в форме, приемлемой для Банка, и отвечающей существующим требованиям по отражению операций и расходов, относящихся к Проекту.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ведет документы учета и счета, о которых говорится в пункте (а) настоящего раздела, включая документы учета и счета, относящиеся к специальному счету, по каждому финансовому году, аудит за который проведен, согласно соответствующим принципам проведения аудита, регулярно применяемым независимыми аудиторами, приемлемыми для Банка; </w:t>
      </w:r>
      <w:r>
        <w:br/>
      </w:r>
      <w:r>
        <w:rPr>
          <w:rFonts w:ascii="Times New Roman"/>
          <w:b w:val="false"/>
          <w:i w:val="false"/>
          <w:color w:val="000000"/>
          <w:sz w:val="28"/>
        </w:rPr>
        <w:t xml:space="preserve">
      (ii) представляет Банку сразу после подготовки, но в любом случае не позднее шести (6) месяцев после окончания каждого такого финансового года, отчет об аудите, проведенном вышеназванными аудиторами, в таком объеме и в таких подробностях, о которых Банк обоснованно запрашивает; и </w:t>
      </w:r>
      <w:r>
        <w:br/>
      </w:r>
      <w:r>
        <w:rPr>
          <w:rFonts w:ascii="Times New Roman"/>
          <w:b w:val="false"/>
          <w:i w:val="false"/>
          <w:color w:val="000000"/>
          <w:sz w:val="28"/>
        </w:rPr>
        <w:t xml:space="preserve">
      (iii) представляет Банку такую другую информацию, относящуюся к вышеназванным документам учета, счетам и их аудиту, которую Банк в то или иное время запрашивает. </w:t>
      </w:r>
      <w:r>
        <w:br/>
      </w:r>
      <w:r>
        <w:rPr>
          <w:rFonts w:ascii="Times New Roman"/>
          <w:b w:val="false"/>
          <w:i w:val="false"/>
          <w:color w:val="000000"/>
          <w:sz w:val="28"/>
        </w:rPr>
        <w:t xml:space="preserve">
      (c) По всем расходам, в отношении которых производилось снятие средств со счета Займа на основании отчетов об управлении Проектом или ведомостей расходов, Заемщик: </w:t>
      </w:r>
      <w:r>
        <w:br/>
      </w:r>
      <w:r>
        <w:rPr>
          <w:rFonts w:ascii="Times New Roman"/>
          <w:b w:val="false"/>
          <w:i w:val="false"/>
          <w:color w:val="000000"/>
          <w:sz w:val="28"/>
        </w:rPr>
        <w:t xml:space="preserve">
      (i) ведет или обеспечивает ведение в соответствии с пунктом (а) настоящего раздела учетных документов и счетов, отражающих такие расходы; </w:t>
      </w:r>
      <w:r>
        <w:br/>
      </w:r>
      <w:r>
        <w:rPr>
          <w:rFonts w:ascii="Times New Roman"/>
          <w:b w:val="false"/>
          <w:i w:val="false"/>
          <w:color w:val="000000"/>
          <w:sz w:val="28"/>
        </w:rPr>
        <w:t xml:space="preserve">
      (ii) хранит в течение не менее одного (1) года, после получения Банком отчета о результатах аудита за финансовый год, в котором было произведено последнее снятие средств со счета Займа, все документы учета (контракты, поручения, счета-фактуры, счета, квитанции и другие документы), подтверждающие такие расходы; </w:t>
      </w:r>
      <w:r>
        <w:br/>
      </w:r>
      <w:r>
        <w:rPr>
          <w:rFonts w:ascii="Times New Roman"/>
          <w:b w:val="false"/>
          <w:i w:val="false"/>
          <w:color w:val="000000"/>
          <w:sz w:val="28"/>
        </w:rPr>
        <w:t xml:space="preserve">
      (iii) предоставляет представителям Банка возможность проверки таких документов учета; и </w:t>
      </w:r>
      <w:r>
        <w:br/>
      </w:r>
      <w:r>
        <w:rPr>
          <w:rFonts w:ascii="Times New Roman"/>
          <w:b w:val="false"/>
          <w:i w:val="false"/>
          <w:color w:val="000000"/>
          <w:sz w:val="28"/>
        </w:rPr>
        <w:t xml:space="preserve">
      (iv) обеспечивает включение таких документов учета и счетов в ежегодный аудит, о котором говорится в пункте (b) настоящего раздела, и чтобы отчет о таком аудите содержал отдельное заключение вышеназванных аудиторов в отношении того, можно ли полагаться на отчеты об управлении проектом или ведомости расходов, предоставленных в течение такого финансового года вместе с вовлеченными процедурами и внутренним контролем для их подготовки, для того, чтобы обосновать снятие средств со счета, о котором идет речь.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w:t>
      </w:r>
      <w:r>
        <w:br/>
      </w:r>
      <w:r>
        <w:rPr>
          <w:rFonts w:ascii="Times New Roman"/>
          <w:b w:val="false"/>
          <w:i w:val="false"/>
          <w:color w:val="000000"/>
          <w:sz w:val="28"/>
        </w:rPr>
        <w:t xml:space="preserve">
      (a) Без ограничения положений раздела 4.01 настоящего Соглашения, Заемщик выполняет согласно установленному графику план действий, приемлемый для Банка, по укреплению системы управления финансовой деятельностью, о которой говорится в пункте (а) вышеназванного раздела </w:t>
      </w:r>
      <w:r>
        <w:br/>
      </w:r>
      <w:r>
        <w:rPr>
          <w:rFonts w:ascii="Times New Roman"/>
          <w:b w:val="false"/>
          <w:i w:val="false"/>
          <w:color w:val="000000"/>
          <w:sz w:val="28"/>
        </w:rPr>
        <w:t xml:space="preserve">
4.01 для того, чтобы дать Заемщику возможность подготовить не позднее 1 июля 2002 года или в такой более поздний срок, который определит Банк, квартальные отчеты об управлении Проектом, приемлемые для Банка, в каждом из которых: </w:t>
      </w:r>
      <w:r>
        <w:br/>
      </w:r>
      <w:r>
        <w:rPr>
          <w:rFonts w:ascii="Times New Roman"/>
          <w:b w:val="false"/>
          <w:i w:val="false"/>
          <w:color w:val="000000"/>
          <w:sz w:val="28"/>
        </w:rPr>
        <w:t xml:space="preserve">
      (i) (А) указываются фактические источники средств и их применение для Проекта - в совокупности и за период, к которому охватываемый вышеназванным отчетом, и планируемые источники, и применение средств для Проекта в течение периода времени продолжительностью шесть месяцев, следующего после периода, к которому относится упомянутый отчет, и </w:t>
      </w:r>
      <w:r>
        <w:br/>
      </w:r>
      <w:r>
        <w:rPr>
          <w:rFonts w:ascii="Times New Roman"/>
          <w:b w:val="false"/>
          <w:i w:val="false"/>
          <w:color w:val="000000"/>
          <w:sz w:val="28"/>
        </w:rPr>
        <w:t xml:space="preserve">
          (В) отдельно показываются расходы, финансировавшиеся из средств Займа в течение периода, к которому относится упомянутый отчет, и расходы, предлагаемые к финансированию из средств Займа в течение периода продолжительностью шесть месяцев, следующего после периода, к которому относится упомянутый отчет; и </w:t>
      </w:r>
      <w:r>
        <w:br/>
      </w:r>
      <w:r>
        <w:rPr>
          <w:rFonts w:ascii="Times New Roman"/>
          <w:b w:val="false"/>
          <w:i w:val="false"/>
          <w:color w:val="000000"/>
          <w:sz w:val="28"/>
        </w:rPr>
        <w:t xml:space="preserve">
      (ii) (А) описывается ход выполнения Проекта, как в совокупности, так и за период, к которому относится упомянутый отчет; </w:t>
      </w:r>
      <w:r>
        <w:br/>
      </w:r>
      <w:r>
        <w:rPr>
          <w:rFonts w:ascii="Times New Roman"/>
          <w:b w:val="false"/>
          <w:i w:val="false"/>
          <w:color w:val="000000"/>
          <w:sz w:val="28"/>
        </w:rPr>
        <w:t xml:space="preserve">
           (В) объясняются расхождения между фактическими и ранее намеченными контрольными цифрами; и </w:t>
      </w:r>
      <w:r>
        <w:br/>
      </w:r>
      <w:r>
        <w:rPr>
          <w:rFonts w:ascii="Times New Roman"/>
          <w:b w:val="false"/>
          <w:i w:val="false"/>
          <w:color w:val="000000"/>
          <w:sz w:val="28"/>
        </w:rPr>
        <w:t xml:space="preserve">
      (iii) излагается состояние дел, связанных с закупками по Проекту и расходами согласно контрактам, финансируемыми из средств Займа на конец периода, к которому относится вышеназванный отчет. </w:t>
      </w:r>
      <w:r>
        <w:br/>
      </w:r>
      <w:r>
        <w:rPr>
          <w:rFonts w:ascii="Times New Roman"/>
          <w:b w:val="false"/>
          <w:i w:val="false"/>
          <w:color w:val="000000"/>
          <w:sz w:val="28"/>
        </w:rPr>
        <w:t xml:space="preserve">
      (b) По завершении выполнения плана мероприятий, о котором говорится в пункте (а) настоящего раздела, Заемщик подготавливает в соответствии с правилами, приемлемыми для Банка, и представляет Банку отчет об управлении Проектом не позднее 45 дней после окончания каждого календарного квартала за такой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w:t>
      </w:r>
      <w:r>
        <w:br/>
      </w:r>
      <w:r>
        <w:rPr>
          <w:rFonts w:ascii="Times New Roman"/>
          <w:b w:val="false"/>
          <w:i w:val="false"/>
          <w:color w:val="000000"/>
          <w:sz w:val="28"/>
        </w:rPr>
        <w:t xml:space="preserve">
      Следующие события указываются в качестве дополнительных условий вступления в силу настоящего Соглашения о Займе в смысле раздела 12.01 (с) Общих условий, то есть Заемщиками назначаются аудиторы, о которых говорится в разделе 4.01 (b) (i)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5.02 </w:t>
      </w:r>
      <w:r>
        <w:br/>
      </w:r>
      <w:r>
        <w:rPr>
          <w:rFonts w:ascii="Times New Roman"/>
          <w:b w:val="false"/>
          <w:i w:val="false"/>
          <w:color w:val="000000"/>
          <w:sz w:val="28"/>
        </w:rPr>
        <w:t xml:space="preserve">
      Для целей раздела 12.04 Общих условий настоящим указывается дата, </w:t>
      </w:r>
    </w:p>
    <w:bookmarkEnd w:id="4"/>
    <w:bookmarkStart w:name="z2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наступающая через девяносто (90) дней после даты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VI </w:t>
      </w:r>
    </w:p>
    <w:p>
      <w:pPr>
        <w:spacing w:after="0"/>
        <w:ind w:left="0"/>
        <w:jc w:val="both"/>
      </w:pPr>
      <w:r>
        <w:rPr>
          <w:rFonts w:ascii="Times New Roman"/>
          <w:b w:val="false"/>
          <w:i w:val="false"/>
          <w:color w:val="000000"/>
          <w:sz w:val="28"/>
        </w:rPr>
        <w:t>                    Представители Заемщика;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w:t>
      </w:r>
    </w:p>
    <w:p>
      <w:pPr>
        <w:spacing w:after="0"/>
        <w:ind w:left="0"/>
        <w:jc w:val="both"/>
      </w:pPr>
      <w:r>
        <w:rPr>
          <w:rFonts w:ascii="Times New Roman"/>
          <w:b w:val="false"/>
          <w:i w:val="false"/>
          <w:color w:val="000000"/>
          <w:sz w:val="28"/>
        </w:rPr>
        <w:t xml:space="preserve">     Представителем Заемщика для целей раздела 11.03 Общих условий </w:t>
      </w:r>
    </w:p>
    <w:p>
      <w:pPr>
        <w:spacing w:after="0"/>
        <w:ind w:left="0"/>
        <w:jc w:val="both"/>
      </w:pPr>
      <w:r>
        <w:rPr>
          <w:rFonts w:ascii="Times New Roman"/>
          <w:b w:val="false"/>
          <w:i w:val="false"/>
          <w:color w:val="000000"/>
          <w:sz w:val="28"/>
        </w:rPr>
        <w:t>назначается Министр финансов или заместитель Министра финансов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6.02</w:t>
      </w:r>
    </w:p>
    <w:p>
      <w:pPr>
        <w:spacing w:after="0"/>
        <w:ind w:left="0"/>
        <w:jc w:val="both"/>
      </w:pPr>
      <w:r>
        <w:rPr>
          <w:rFonts w:ascii="Times New Roman"/>
          <w:b w:val="false"/>
          <w:i w:val="false"/>
          <w:color w:val="000000"/>
          <w:sz w:val="28"/>
        </w:rPr>
        <w:t xml:space="preserve">     Для целей раздела 11.01 Общих условий указываются следующие адреса: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Министерство финансов</w:t>
      </w:r>
    </w:p>
    <w:p>
      <w:pPr>
        <w:spacing w:after="0"/>
        <w:ind w:left="0"/>
        <w:jc w:val="both"/>
      </w:pPr>
      <w:r>
        <w:rPr>
          <w:rFonts w:ascii="Times New Roman"/>
          <w:b w:val="false"/>
          <w:i w:val="false"/>
          <w:color w:val="000000"/>
          <w:sz w:val="28"/>
        </w:rPr>
        <w:t>     33, Pobeda Ave                      Республика Казахстан</w:t>
      </w:r>
    </w:p>
    <w:p>
      <w:pPr>
        <w:spacing w:after="0"/>
        <w:ind w:left="0"/>
        <w:jc w:val="both"/>
      </w:pPr>
      <w:r>
        <w:rPr>
          <w:rFonts w:ascii="Times New Roman"/>
          <w:b w:val="false"/>
          <w:i w:val="false"/>
          <w:color w:val="000000"/>
          <w:sz w:val="28"/>
        </w:rPr>
        <w:t>     473000 Astana                          Астана 473000</w:t>
      </w:r>
    </w:p>
    <w:p>
      <w:pPr>
        <w:spacing w:after="0"/>
        <w:ind w:left="0"/>
        <w:jc w:val="both"/>
      </w:pPr>
      <w:r>
        <w:rPr>
          <w:rFonts w:ascii="Times New Roman"/>
          <w:b w:val="false"/>
          <w:i w:val="false"/>
          <w:color w:val="000000"/>
          <w:sz w:val="28"/>
        </w:rPr>
        <w:t>     Republic of Kazakhstan              Проспект Победы, 33</w:t>
      </w:r>
    </w:p>
    <w:p>
      <w:pPr>
        <w:spacing w:after="0"/>
        <w:ind w:left="0"/>
        <w:jc w:val="both"/>
      </w:pPr>
      <w:r>
        <w:rPr>
          <w:rFonts w:ascii="Times New Roman"/>
          <w:b w:val="false"/>
          <w:i w:val="false"/>
          <w:color w:val="000000"/>
          <w:sz w:val="28"/>
        </w:rPr>
        <w:t>     Теlех: 264126 (FILIN)               Телекс: 264126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International Bank for            Международный Банк Реконструкции </w:t>
      </w:r>
    </w:p>
    <w:p>
      <w:pPr>
        <w:spacing w:after="0"/>
        <w:ind w:left="0"/>
        <w:jc w:val="both"/>
      </w:pPr>
      <w:r>
        <w:rPr>
          <w:rFonts w:ascii="Times New Roman"/>
          <w:b w:val="false"/>
          <w:i w:val="false"/>
          <w:color w:val="000000"/>
          <w:sz w:val="28"/>
        </w:rPr>
        <w:t>     Reconstruction and Development            и Развития</w:t>
      </w:r>
    </w:p>
    <w:p>
      <w:pPr>
        <w:spacing w:after="0"/>
        <w:ind w:left="0"/>
        <w:jc w:val="both"/>
      </w:pPr>
      <w:r>
        <w:rPr>
          <w:rFonts w:ascii="Times New Roman"/>
          <w:b w:val="false"/>
          <w:i w:val="false"/>
          <w:color w:val="000000"/>
          <w:sz w:val="28"/>
        </w:rPr>
        <w:t>     1818 Н Strееt, N. W.               1818 Эйч-Стрит, Северо-Запад</w:t>
      </w:r>
    </w:p>
    <w:p>
      <w:pPr>
        <w:spacing w:after="0"/>
        <w:ind w:left="0"/>
        <w:jc w:val="both"/>
      </w:pPr>
      <w:r>
        <w:rPr>
          <w:rFonts w:ascii="Times New Roman"/>
          <w:b w:val="false"/>
          <w:i w:val="false"/>
          <w:color w:val="000000"/>
          <w:sz w:val="28"/>
        </w:rPr>
        <w:t>     Wаshingtоn, D. С. 20433           Вашингтон, Округ Колумбия 20433</w:t>
      </w:r>
    </w:p>
    <w:p>
      <w:pPr>
        <w:spacing w:after="0"/>
        <w:ind w:left="0"/>
        <w:jc w:val="both"/>
      </w:pPr>
      <w:r>
        <w:rPr>
          <w:rFonts w:ascii="Times New Roman"/>
          <w:b w:val="false"/>
          <w:i w:val="false"/>
          <w:color w:val="000000"/>
          <w:sz w:val="28"/>
        </w:rPr>
        <w:t>     United States of America             Соединенные Штаты Америки</w:t>
      </w:r>
    </w:p>
    <w:p>
      <w:pPr>
        <w:spacing w:after="0"/>
        <w:ind w:left="0"/>
        <w:jc w:val="both"/>
      </w:pPr>
      <w:r>
        <w:rPr>
          <w:rFonts w:ascii="Times New Roman"/>
          <w:b w:val="false"/>
          <w:i w:val="false"/>
          <w:color w:val="000000"/>
          <w:sz w:val="28"/>
        </w:rPr>
        <w:t>     Cable аddrеss: INTBAFRAD          Телеграфный адрес: INTBAFRAD</w:t>
      </w:r>
    </w:p>
    <w:p>
      <w:pPr>
        <w:spacing w:after="0"/>
        <w:ind w:left="0"/>
        <w:jc w:val="both"/>
      </w:pPr>
      <w:r>
        <w:rPr>
          <w:rFonts w:ascii="Times New Roman"/>
          <w:b w:val="false"/>
          <w:i w:val="false"/>
          <w:color w:val="000000"/>
          <w:sz w:val="28"/>
        </w:rPr>
        <w:t>         Wаshingtоn, D.С.                Вашингтон, Округ Колумбия</w:t>
      </w:r>
    </w:p>
    <w:p>
      <w:pPr>
        <w:spacing w:after="0"/>
        <w:ind w:left="0"/>
        <w:jc w:val="both"/>
      </w:pPr>
      <w:r>
        <w:rPr>
          <w:rFonts w:ascii="Times New Roman"/>
          <w:b w:val="false"/>
          <w:i w:val="false"/>
          <w:color w:val="000000"/>
          <w:sz w:val="28"/>
        </w:rPr>
        <w:t>     Теlех: 248423 (MCI) or              Телекс: 248423 (MCI) или</w:t>
      </w:r>
    </w:p>
    <w:p>
      <w:pPr>
        <w:spacing w:after="0"/>
        <w:ind w:left="0"/>
        <w:jc w:val="both"/>
      </w:pPr>
      <w:r>
        <w:rPr>
          <w:rFonts w:ascii="Times New Roman"/>
          <w:b w:val="false"/>
          <w:i w:val="false"/>
          <w:color w:val="000000"/>
          <w:sz w:val="28"/>
        </w:rPr>
        <w:t>           64145 (MCI)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w:t>
      </w:r>
    </w:p>
    <w:p>
      <w:pPr>
        <w:spacing w:after="0"/>
        <w:ind w:left="0"/>
        <w:jc w:val="both"/>
      </w:pPr>
      <w:r>
        <w:rPr>
          <w:rFonts w:ascii="Times New Roman"/>
          <w:b w:val="false"/>
          <w:i w:val="false"/>
          <w:color w:val="000000"/>
          <w:sz w:val="28"/>
        </w:rPr>
        <w:t xml:space="preserve">     Стороны в настоящем Соглашении, действующие через своих надлежащим </w:t>
      </w:r>
    </w:p>
    <w:p>
      <w:pPr>
        <w:spacing w:after="0"/>
        <w:ind w:left="0"/>
        <w:jc w:val="both"/>
      </w:pPr>
      <w:r>
        <w:rPr>
          <w:rFonts w:ascii="Times New Roman"/>
          <w:b w:val="false"/>
          <w:i w:val="false"/>
          <w:color w:val="000000"/>
          <w:sz w:val="28"/>
        </w:rPr>
        <w:t xml:space="preserve">образом уполномоченных представителей, обеспечили подписание настоящего </w:t>
      </w:r>
    </w:p>
    <w:p>
      <w:pPr>
        <w:spacing w:after="0"/>
        <w:ind w:left="0"/>
        <w:jc w:val="both"/>
      </w:pPr>
      <w:r>
        <w:rPr>
          <w:rFonts w:ascii="Times New Roman"/>
          <w:b w:val="false"/>
          <w:i w:val="false"/>
          <w:color w:val="000000"/>
          <w:sz w:val="28"/>
        </w:rPr>
        <w:t xml:space="preserve">Соглашения от своих имен в г. Астана Республика Казахстан, в день и год, </w:t>
      </w:r>
    </w:p>
    <w:p>
      <w:pPr>
        <w:spacing w:after="0"/>
        <w:ind w:left="0"/>
        <w:jc w:val="both"/>
      </w:pPr>
      <w:r>
        <w:rPr>
          <w:rFonts w:ascii="Times New Roman"/>
          <w:b w:val="false"/>
          <w:i w:val="false"/>
          <w:color w:val="000000"/>
          <w:sz w:val="28"/>
        </w:rPr>
        <w:t>указываемые выше вначале.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За Международный Банк         </w:t>
      </w:r>
    </w:p>
    <w:p>
      <w:pPr>
        <w:spacing w:after="0"/>
        <w:ind w:left="0"/>
        <w:jc w:val="both"/>
      </w:pPr>
      <w:r>
        <w:rPr>
          <w:rFonts w:ascii="Times New Roman"/>
          <w:b w:val="false"/>
          <w:i w:val="false"/>
          <w:color w:val="000000"/>
          <w:sz w:val="28"/>
        </w:rPr>
        <w:t>    Республики Казахстан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Уполномоченный Представитель              Вице-Президент по региону</w:t>
      </w:r>
    </w:p>
    <w:p>
      <w:pPr>
        <w:spacing w:after="0"/>
        <w:ind w:left="0"/>
        <w:jc w:val="both"/>
      </w:pPr>
      <w:r>
        <w:rPr>
          <w:rFonts w:ascii="Times New Roman"/>
          <w:b w:val="false"/>
          <w:i w:val="false"/>
          <w:color w:val="000000"/>
          <w:sz w:val="28"/>
        </w:rPr>
        <w:t>                                              Европа и Средняя Азия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Снятие со счета средств Займа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Общие положения</w:t>
      </w:r>
    </w:p>
    <w:p>
      <w:pPr>
        <w:spacing w:after="0"/>
        <w:ind w:left="0"/>
        <w:jc w:val="both"/>
      </w:pPr>
      <w:r>
        <w:rPr>
          <w:rFonts w:ascii="Times New Roman"/>
          <w:b w:val="false"/>
          <w:i w:val="false"/>
          <w:color w:val="000000"/>
          <w:sz w:val="28"/>
        </w:rPr>
        <w:t xml:space="preserve">     1. В нижеследующей таблице указываются категории статей расходов, </w:t>
      </w:r>
    </w:p>
    <w:p>
      <w:pPr>
        <w:spacing w:after="0"/>
        <w:ind w:left="0"/>
        <w:jc w:val="both"/>
      </w:pPr>
      <w:r>
        <w:rPr>
          <w:rFonts w:ascii="Times New Roman"/>
          <w:b w:val="false"/>
          <w:i w:val="false"/>
          <w:color w:val="000000"/>
          <w:sz w:val="28"/>
        </w:rPr>
        <w:t xml:space="preserve">финансируемых из средств Займа, распределение сумм Займа по каждой </w:t>
      </w:r>
    </w:p>
    <w:p>
      <w:pPr>
        <w:spacing w:after="0"/>
        <w:ind w:left="0"/>
        <w:jc w:val="both"/>
      </w:pPr>
      <w:r>
        <w:rPr>
          <w:rFonts w:ascii="Times New Roman"/>
          <w:b w:val="false"/>
          <w:i w:val="false"/>
          <w:color w:val="000000"/>
          <w:sz w:val="28"/>
        </w:rPr>
        <w:t xml:space="preserve">категории и процент расходов по статьям, финансируемых таким образом в </w:t>
      </w:r>
    </w:p>
    <w:p>
      <w:pPr>
        <w:spacing w:after="0"/>
        <w:ind w:left="0"/>
        <w:jc w:val="both"/>
      </w:pPr>
      <w:r>
        <w:rPr>
          <w:rFonts w:ascii="Times New Roman"/>
          <w:b w:val="false"/>
          <w:i w:val="false"/>
          <w:color w:val="000000"/>
          <w:sz w:val="28"/>
        </w:rPr>
        <w:t>каждой 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Выделенная сумма          % Затрат к</w:t>
      </w:r>
    </w:p>
    <w:p>
      <w:pPr>
        <w:spacing w:after="0"/>
        <w:ind w:left="0"/>
        <w:jc w:val="both"/>
      </w:pPr>
      <w:r>
        <w:rPr>
          <w:rFonts w:ascii="Times New Roman"/>
          <w:b w:val="false"/>
          <w:i w:val="false"/>
          <w:color w:val="000000"/>
          <w:sz w:val="28"/>
        </w:rPr>
        <w:t>                                 Займа (в           финансированию</w:t>
      </w:r>
    </w:p>
    <w:p>
      <w:pPr>
        <w:spacing w:after="0"/>
        <w:ind w:left="0"/>
        <w:jc w:val="both"/>
      </w:pPr>
      <w:r>
        <w:rPr>
          <w:rFonts w:ascii="Times New Roman"/>
          <w:b w:val="false"/>
          <w:i w:val="false"/>
          <w:color w:val="000000"/>
          <w:sz w:val="28"/>
        </w:rPr>
        <w:t>                              Долларах США)</w:t>
      </w:r>
    </w:p>
    <w:p>
      <w:pPr>
        <w:spacing w:after="0"/>
        <w:ind w:left="0"/>
        <w:jc w:val="both"/>
      </w:pPr>
      <w:r>
        <w:rPr>
          <w:rFonts w:ascii="Times New Roman"/>
          <w:b w:val="false"/>
          <w:i w:val="false"/>
          <w:color w:val="000000"/>
          <w:sz w:val="28"/>
        </w:rPr>
        <w:t>     (1) Инженерно-</w:t>
      </w:r>
    </w:p>
    <w:p>
      <w:pPr>
        <w:spacing w:after="0"/>
        <w:ind w:left="0"/>
        <w:jc w:val="both"/>
      </w:pPr>
      <w:r>
        <w:rPr>
          <w:rFonts w:ascii="Times New Roman"/>
          <w:b w:val="false"/>
          <w:i w:val="false"/>
          <w:color w:val="000000"/>
          <w:sz w:val="28"/>
        </w:rPr>
        <w:t>     строительные</w:t>
      </w:r>
    </w:p>
    <w:p>
      <w:pPr>
        <w:spacing w:after="0"/>
        <w:ind w:left="0"/>
        <w:jc w:val="both"/>
      </w:pPr>
      <w:r>
        <w:rPr>
          <w:rFonts w:ascii="Times New Roman"/>
          <w:b w:val="false"/>
          <w:i w:val="false"/>
          <w:color w:val="000000"/>
          <w:sz w:val="28"/>
        </w:rPr>
        <w:t>     работы                    57,955,000           84%</w:t>
      </w:r>
    </w:p>
    <w:p>
      <w:pPr>
        <w:spacing w:after="0"/>
        <w:ind w:left="0"/>
        <w:jc w:val="both"/>
      </w:pPr>
      <w:r>
        <w:rPr>
          <w:rFonts w:ascii="Times New Roman"/>
          <w:b w:val="false"/>
          <w:i w:val="false"/>
          <w:color w:val="000000"/>
          <w:sz w:val="28"/>
        </w:rPr>
        <w:t>     (2) Товары                100,000              100% расходов в</w:t>
      </w:r>
    </w:p>
    <w:p>
      <w:pPr>
        <w:spacing w:after="0"/>
        <w:ind w:left="0"/>
        <w:jc w:val="both"/>
      </w:pPr>
      <w:r>
        <w:rPr>
          <w:rFonts w:ascii="Times New Roman"/>
          <w:b w:val="false"/>
          <w:i w:val="false"/>
          <w:color w:val="000000"/>
          <w:sz w:val="28"/>
        </w:rPr>
        <w:t xml:space="preserve">                                                    иностранной валюте, </w:t>
      </w:r>
    </w:p>
    <w:p>
      <w:pPr>
        <w:spacing w:after="0"/>
        <w:ind w:left="0"/>
        <w:jc w:val="both"/>
      </w:pPr>
      <w:r>
        <w:rPr>
          <w:rFonts w:ascii="Times New Roman"/>
          <w:b w:val="false"/>
          <w:i w:val="false"/>
          <w:color w:val="000000"/>
          <w:sz w:val="28"/>
        </w:rPr>
        <w:t>                                                    100% расходов в</w:t>
      </w:r>
    </w:p>
    <w:p>
      <w:pPr>
        <w:spacing w:after="0"/>
        <w:ind w:left="0"/>
        <w:jc w:val="both"/>
      </w:pPr>
      <w:r>
        <w:rPr>
          <w:rFonts w:ascii="Times New Roman"/>
          <w:b w:val="false"/>
          <w:i w:val="false"/>
          <w:color w:val="000000"/>
          <w:sz w:val="28"/>
        </w:rPr>
        <w:t>                                                    местной валюте</w:t>
      </w:r>
    </w:p>
    <w:p>
      <w:pPr>
        <w:spacing w:after="0"/>
        <w:ind w:left="0"/>
        <w:jc w:val="both"/>
      </w:pPr>
      <w:r>
        <w:rPr>
          <w:rFonts w:ascii="Times New Roman"/>
          <w:b w:val="false"/>
          <w:i w:val="false"/>
          <w:color w:val="000000"/>
          <w:sz w:val="28"/>
        </w:rPr>
        <w:t>                                                    (стоимость франко-</w:t>
      </w:r>
    </w:p>
    <w:p>
      <w:pPr>
        <w:spacing w:after="0"/>
        <w:ind w:left="0"/>
        <w:jc w:val="both"/>
      </w:pPr>
      <w:r>
        <w:rPr>
          <w:rFonts w:ascii="Times New Roman"/>
          <w:b w:val="false"/>
          <w:i w:val="false"/>
          <w:color w:val="000000"/>
          <w:sz w:val="28"/>
        </w:rPr>
        <w:t xml:space="preserve">                                                    завод) и 84% расходов  </w:t>
      </w:r>
    </w:p>
    <w:p>
      <w:pPr>
        <w:spacing w:after="0"/>
        <w:ind w:left="0"/>
        <w:jc w:val="both"/>
      </w:pPr>
      <w:r>
        <w:rPr>
          <w:rFonts w:ascii="Times New Roman"/>
          <w:b w:val="false"/>
          <w:i w:val="false"/>
          <w:color w:val="000000"/>
          <w:sz w:val="28"/>
        </w:rPr>
        <w:t xml:space="preserve">                                                    в местной валюте для   </w:t>
      </w:r>
    </w:p>
    <w:p>
      <w:pPr>
        <w:spacing w:after="0"/>
        <w:ind w:left="0"/>
        <w:jc w:val="both"/>
      </w:pPr>
      <w:r>
        <w:rPr>
          <w:rFonts w:ascii="Times New Roman"/>
          <w:b w:val="false"/>
          <w:i w:val="false"/>
          <w:color w:val="000000"/>
          <w:sz w:val="28"/>
        </w:rPr>
        <w:t xml:space="preserve">                                                    товаров, закупаемых на </w:t>
      </w:r>
    </w:p>
    <w:p>
      <w:pPr>
        <w:spacing w:after="0"/>
        <w:ind w:left="0"/>
        <w:jc w:val="both"/>
      </w:pPr>
      <w:r>
        <w:rPr>
          <w:rFonts w:ascii="Times New Roman"/>
          <w:b w:val="false"/>
          <w:i w:val="false"/>
          <w:color w:val="000000"/>
          <w:sz w:val="28"/>
        </w:rPr>
        <w:t>                                                    месте</w:t>
      </w:r>
    </w:p>
    <w:p>
      <w:pPr>
        <w:spacing w:after="0"/>
        <w:ind w:left="0"/>
        <w:jc w:val="both"/>
      </w:pPr>
      <w:r>
        <w:rPr>
          <w:rFonts w:ascii="Times New Roman"/>
          <w:b w:val="false"/>
          <w:i w:val="false"/>
          <w:color w:val="000000"/>
          <w:sz w:val="28"/>
        </w:rPr>
        <w:t>     (3) Погашение ссуды       1,800,000            Суммы,</w:t>
      </w:r>
    </w:p>
    <w:p>
      <w:pPr>
        <w:spacing w:after="0"/>
        <w:ind w:left="0"/>
        <w:jc w:val="both"/>
      </w:pPr>
      <w:r>
        <w:rPr>
          <w:rFonts w:ascii="Times New Roman"/>
          <w:b w:val="false"/>
          <w:i w:val="false"/>
          <w:color w:val="000000"/>
          <w:sz w:val="28"/>
        </w:rPr>
        <w:t>     на подготовку проекта                          причитающиеся</w:t>
      </w:r>
    </w:p>
    <w:p>
      <w:pPr>
        <w:spacing w:after="0"/>
        <w:ind w:left="0"/>
        <w:jc w:val="both"/>
      </w:pPr>
      <w:r>
        <w:rPr>
          <w:rFonts w:ascii="Times New Roman"/>
          <w:b w:val="false"/>
          <w:i w:val="false"/>
          <w:color w:val="000000"/>
          <w:sz w:val="28"/>
        </w:rPr>
        <w:t xml:space="preserve">                                                    согласно разделу 2.02 </w:t>
      </w:r>
    </w:p>
    <w:p>
      <w:pPr>
        <w:spacing w:after="0"/>
        <w:ind w:left="0"/>
        <w:jc w:val="both"/>
      </w:pPr>
      <w:r>
        <w:rPr>
          <w:rFonts w:ascii="Times New Roman"/>
          <w:b w:val="false"/>
          <w:i w:val="false"/>
          <w:color w:val="000000"/>
          <w:sz w:val="28"/>
        </w:rPr>
        <w:t xml:space="preserve">                                                    (с) настоящего </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 xml:space="preserve">     (4) Комиссионный сбор     645,000              Сумма, причитающаяся </w:t>
      </w:r>
    </w:p>
    <w:p>
      <w:pPr>
        <w:spacing w:after="0"/>
        <w:ind w:left="0"/>
        <w:jc w:val="both"/>
      </w:pPr>
      <w:r>
        <w:rPr>
          <w:rFonts w:ascii="Times New Roman"/>
          <w:b w:val="false"/>
          <w:i w:val="false"/>
          <w:color w:val="000000"/>
          <w:sz w:val="28"/>
        </w:rPr>
        <w:t xml:space="preserve">                                                    согласно разделу </w:t>
      </w:r>
    </w:p>
    <w:p>
      <w:pPr>
        <w:spacing w:after="0"/>
        <w:ind w:left="0"/>
        <w:jc w:val="both"/>
      </w:pPr>
      <w:r>
        <w:rPr>
          <w:rFonts w:ascii="Times New Roman"/>
          <w:b w:val="false"/>
          <w:i w:val="false"/>
          <w:color w:val="000000"/>
          <w:sz w:val="28"/>
        </w:rPr>
        <w:t xml:space="preserve">                                                    2.04 настоящего </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 xml:space="preserve">     (5) Нераспределенная      4,000,000 </w:t>
      </w:r>
    </w:p>
    <w:p>
      <w:pPr>
        <w:spacing w:after="0"/>
        <w:ind w:left="0"/>
        <w:jc w:val="both"/>
      </w:pPr>
      <w:r>
        <w:rPr>
          <w:rFonts w:ascii="Times New Roman"/>
          <w:b w:val="false"/>
          <w:i w:val="false"/>
          <w:color w:val="000000"/>
          <w:sz w:val="28"/>
        </w:rPr>
        <w:t xml:space="preserve">         сумма </w:t>
      </w:r>
    </w:p>
    <w:p>
      <w:pPr>
        <w:spacing w:after="0"/>
        <w:ind w:left="0"/>
        <w:jc w:val="both"/>
      </w:pPr>
      <w:r>
        <w:rPr>
          <w:rFonts w:ascii="Times New Roman"/>
          <w:b w:val="false"/>
          <w:i w:val="false"/>
          <w:color w:val="000000"/>
          <w:sz w:val="28"/>
        </w:rPr>
        <w:t>         Итого                 64,500,0000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термин "расходы в иностранной валюте" означает расходы в валюте любой страны, иной другой, чем страна Заемщика, на товары, поставляемые с территории любой страны, иной другой, чем страны Заемщика; и </w:t>
      </w:r>
      <w:r>
        <w:br/>
      </w:r>
      <w:r>
        <w:rPr>
          <w:rFonts w:ascii="Times New Roman"/>
          <w:b w:val="false"/>
          <w:i w:val="false"/>
          <w:color w:val="000000"/>
          <w:sz w:val="28"/>
        </w:rPr>
        <w:t xml:space="preserve">
      b) термин "расходы в местной валюте" означает расходы в валюте Заемщика, на товары, поставляемые с территории Заемщика. </w:t>
      </w:r>
      <w:r>
        <w:br/>
      </w:r>
      <w:r>
        <w:rPr>
          <w:rFonts w:ascii="Times New Roman"/>
          <w:b w:val="false"/>
          <w:i w:val="false"/>
          <w:color w:val="000000"/>
          <w:sz w:val="28"/>
        </w:rPr>
        <w:t xml:space="preserve">
      3. Независимо от положений приводимого выше пункта 1 никакое снятие средств со счета не производится в отношении платежей, имевших место до даты подписания настоящего Соглашения. </w:t>
      </w:r>
      <w:r>
        <w:br/>
      </w:r>
      <w:r>
        <w:rPr>
          <w:rFonts w:ascii="Times New Roman"/>
          <w:b w:val="false"/>
          <w:i w:val="false"/>
          <w:color w:val="000000"/>
          <w:sz w:val="28"/>
        </w:rPr>
        <w:t xml:space="preserve">
      4. Банк может потребовать, чтобы средства Займа снимались со счета Займа на основе ведомостей расходов на: </w:t>
      </w:r>
      <w:r>
        <w:br/>
      </w:r>
      <w:r>
        <w:rPr>
          <w:rFonts w:ascii="Times New Roman"/>
          <w:b w:val="false"/>
          <w:i w:val="false"/>
          <w:color w:val="000000"/>
          <w:sz w:val="28"/>
        </w:rPr>
        <w:t xml:space="preserve">
      (a) товары согласно контрактам, стоимость каждого из которых в пересчете на доллары США составляет менее 100,000; </w:t>
      </w:r>
      <w:r>
        <w:br/>
      </w:r>
      <w:r>
        <w:rPr>
          <w:rFonts w:ascii="Times New Roman"/>
          <w:b w:val="false"/>
          <w:i w:val="false"/>
          <w:color w:val="000000"/>
          <w:sz w:val="28"/>
        </w:rPr>
        <w:t xml:space="preserve">
      (b) работы согласно контрактам, стоимость каждого из которых в пересчете на доллары США составляет менее 200,000, </w:t>
      </w:r>
      <w:r>
        <w:br/>
      </w:r>
      <w:r>
        <w:rPr>
          <w:rFonts w:ascii="Times New Roman"/>
          <w:b w:val="false"/>
          <w:i w:val="false"/>
          <w:color w:val="000000"/>
          <w:sz w:val="28"/>
        </w:rPr>
        <w:t xml:space="preserve">
      все на таких условиях и положениях, о которых Банк уведомляет Заемщика. </w:t>
      </w:r>
      <w:r>
        <w:br/>
      </w:r>
      <w:r>
        <w:rPr>
          <w:rFonts w:ascii="Times New Roman"/>
          <w:b w:val="false"/>
          <w:i w:val="false"/>
          <w:color w:val="000000"/>
          <w:sz w:val="28"/>
        </w:rPr>
        <w:t>
 </w:t>
      </w:r>
      <w:r>
        <w:br/>
      </w:r>
      <w:r>
        <w:rPr>
          <w:rFonts w:ascii="Times New Roman"/>
          <w:b w:val="false"/>
          <w:i w:val="false"/>
          <w:color w:val="000000"/>
          <w:sz w:val="28"/>
        </w:rPr>
        <w:t xml:space="preserve">
      В. Специальный счет </w:t>
      </w:r>
      <w:r>
        <w:br/>
      </w:r>
      <w:r>
        <w:rPr>
          <w:rFonts w:ascii="Times New Roman"/>
          <w:b w:val="false"/>
          <w:i w:val="false"/>
          <w:color w:val="000000"/>
          <w:sz w:val="28"/>
        </w:rPr>
        <w:t xml:space="preserve">
      1. Заемщик открывает и ведет в долларах США специальный депозитный счет в коммерческом банке на условиях и положениях, приемлемых для Банка, включая надлежащую защиту от зачета, конфискации или наложения ареста. </w:t>
      </w:r>
      <w:r>
        <w:br/>
      </w:r>
      <w:r>
        <w:rPr>
          <w:rFonts w:ascii="Times New Roman"/>
          <w:b w:val="false"/>
          <w:i w:val="false"/>
          <w:color w:val="000000"/>
          <w:sz w:val="28"/>
        </w:rPr>
        <w:t xml:space="preserve">
      2. После получения Банком приемлемого для него подтверждения того, что специальный счет открыт, снятие средств со счета Займа в суммах, депонируемых на вышеназванном специальном счете, производится следующим образом: </w:t>
      </w:r>
      <w:r>
        <w:br/>
      </w:r>
      <w:r>
        <w:rPr>
          <w:rFonts w:ascii="Times New Roman"/>
          <w:b w:val="false"/>
          <w:i w:val="false"/>
          <w:color w:val="000000"/>
          <w:sz w:val="28"/>
        </w:rPr>
        <w:t xml:space="preserve">
      (a) до получения Банком следующих документов: </w:t>
      </w:r>
      <w:r>
        <w:br/>
      </w:r>
      <w:r>
        <w:rPr>
          <w:rFonts w:ascii="Times New Roman"/>
          <w:b w:val="false"/>
          <w:i w:val="false"/>
          <w:color w:val="000000"/>
          <w:sz w:val="28"/>
        </w:rPr>
        <w:t xml:space="preserve">
      (i) первого отчета об управлении Проектом, о котором говорится в разделе 4.02 (b) настоящего Соглашения, и </w:t>
      </w:r>
      <w:r>
        <w:br/>
      </w:r>
      <w:r>
        <w:rPr>
          <w:rFonts w:ascii="Times New Roman"/>
          <w:b w:val="false"/>
          <w:i w:val="false"/>
          <w:color w:val="000000"/>
          <w:sz w:val="28"/>
        </w:rPr>
        <w:t xml:space="preserve">
      (ii) заявки Заемщика на снятие средств на основании отчетов об управлении Проектом, </w:t>
      </w:r>
      <w:r>
        <w:br/>
      </w:r>
      <w:r>
        <w:rPr>
          <w:rFonts w:ascii="Times New Roman"/>
          <w:b w:val="false"/>
          <w:i w:val="false"/>
          <w:color w:val="000000"/>
          <w:sz w:val="28"/>
        </w:rPr>
        <w:t xml:space="preserve">
      снятие средств со счета производится в соответствии с положениями дополнения А к настоящему приложению 1; и </w:t>
      </w:r>
      <w:r>
        <w:br/>
      </w:r>
      <w:r>
        <w:rPr>
          <w:rFonts w:ascii="Times New Roman"/>
          <w:b w:val="false"/>
          <w:i w:val="false"/>
          <w:color w:val="000000"/>
          <w:sz w:val="28"/>
        </w:rPr>
        <w:t xml:space="preserve">
      (b) По получении Банком отчета об управлении Проектом, в соответствии с разделом 4.02 (b) настоящего Соглашения, сопровождаемого заявкой Заемщика на снятие средств со счета на основании отчетов об управлении Проектом, любое последующее снятие средств со счета производится в соответствии с положениями дополнения В к настоящему приложению 1. </w:t>
      </w:r>
      <w:r>
        <w:br/>
      </w:r>
      <w:r>
        <w:rPr>
          <w:rFonts w:ascii="Times New Roman"/>
          <w:b w:val="false"/>
          <w:i w:val="false"/>
          <w:color w:val="000000"/>
          <w:sz w:val="28"/>
        </w:rPr>
        <w:t xml:space="preserve">
      3. Платежи со специального счета производятся исключительно на приемлемые расходы. По каждому платежу, производимому Заемщиком со специального счета, Заемщик в сроки, о которых Банк обоснованно запрашивает, представляет Банку такие документы или иные подтверждения того, что такой платеж был произведен исключительно на приемлемые расходы. </w:t>
      </w:r>
      <w:r>
        <w:br/>
      </w:r>
      <w:r>
        <w:rPr>
          <w:rFonts w:ascii="Times New Roman"/>
          <w:b w:val="false"/>
          <w:i w:val="false"/>
          <w:color w:val="000000"/>
          <w:sz w:val="28"/>
        </w:rPr>
        <w:t xml:space="preserve">
      4. Независимо от положений части В.2 настоящего приложения Банк не обязан производить последующее депонирование средств на специальный счет, если: </w:t>
      </w:r>
      <w:r>
        <w:br/>
      </w:r>
      <w:r>
        <w:rPr>
          <w:rFonts w:ascii="Times New Roman"/>
          <w:b w:val="false"/>
          <w:i w:val="false"/>
          <w:color w:val="000000"/>
          <w:sz w:val="28"/>
        </w:rPr>
        <w:t xml:space="preserve">
      (а) Банк в любое время устанавливает, что информация, требующаяся согласно разделу 4.02 настоящего Соглашения, не представлена надлежащим образом в отчете об управлении Проектом; </w:t>
      </w:r>
      <w:r>
        <w:br/>
      </w:r>
      <w:r>
        <w:rPr>
          <w:rFonts w:ascii="Times New Roman"/>
          <w:b w:val="false"/>
          <w:i w:val="false"/>
          <w:color w:val="000000"/>
          <w:sz w:val="28"/>
        </w:rPr>
        <w:t xml:space="preserve">
      (б) Банк в любое время устанавливает, что любое последующее снятие средств со счета должно производиться Заемщиком непосредственно со счета Займа; или </w:t>
      </w:r>
      <w:r>
        <w:br/>
      </w:r>
      <w:r>
        <w:rPr>
          <w:rFonts w:ascii="Times New Roman"/>
          <w:b w:val="false"/>
          <w:i w:val="false"/>
          <w:color w:val="000000"/>
          <w:sz w:val="28"/>
        </w:rPr>
        <w:t xml:space="preserve">
      (с) Заемщик в течение срока, указываемого в разделе 4.01 (b) (ii) настоящего Соглашения, не представил Банку какой-либо из отчетов о результатах аудита, представление которых Банку требуется согласно вышеназванному разделу в отношении аудита: </w:t>
      </w:r>
      <w:r>
        <w:br/>
      </w:r>
      <w:r>
        <w:rPr>
          <w:rFonts w:ascii="Times New Roman"/>
          <w:b w:val="false"/>
          <w:i w:val="false"/>
          <w:color w:val="000000"/>
          <w:sz w:val="28"/>
        </w:rPr>
        <w:t xml:space="preserve">
      (A) документов учета и счета по специальному счету или </w:t>
      </w:r>
      <w:r>
        <w:br/>
      </w:r>
      <w:r>
        <w:rPr>
          <w:rFonts w:ascii="Times New Roman"/>
          <w:b w:val="false"/>
          <w:i w:val="false"/>
          <w:color w:val="000000"/>
          <w:sz w:val="28"/>
        </w:rPr>
        <w:t xml:space="preserve">
      (B) документов учета и счета, отражающие расходы, в отношении которых было произведено снятие средств со счета на основании отчетов об управлении Проектом. </w:t>
      </w:r>
      <w:r>
        <w:br/>
      </w:r>
      <w:r>
        <w:rPr>
          <w:rFonts w:ascii="Times New Roman"/>
          <w:b w:val="false"/>
          <w:i w:val="false"/>
          <w:color w:val="000000"/>
          <w:sz w:val="28"/>
        </w:rPr>
        <w:t xml:space="preserve">
      5. Банк не обязан производить последующее депонирование средств на специальном счете в соответствии с положениями части В.2 настоящего приложения, если Банк в любое время уведомляет Заемщика о своем намерении приостановить полностью или частично право Заемщика на снятие средств со счета Займа согласно разделу 6.02 Общих условий. После такого уведомления Банк исключительно по своему усмотрению определяет, может ли производиться последующее депонирование средств на специальном счете и какие процедуры должны соблюдаться для осуществления такого депонирования средств, и уведомляет Заемщика о своем решении. </w:t>
      </w:r>
      <w:r>
        <w:br/>
      </w:r>
      <w:r>
        <w:rPr>
          <w:rFonts w:ascii="Times New Roman"/>
          <w:b w:val="false"/>
          <w:i w:val="false"/>
          <w:color w:val="000000"/>
          <w:sz w:val="28"/>
        </w:rPr>
        <w:t xml:space="preserve">
      6. (а) Если Банк в любое время устанавливает, что какой-либо платеж со специального счета был произведен на расходы, которые не являются приемлемыми расходами или не был обоснован подтверждающим документом, представленным Банку, Заемщик по получении уведомления из Банка немедленно представляет такое дополнительное подтверждение, которое Банк может запросить или депонирует на специальном счете (или, если того требует Банк, возвращает в Банк) сумму, равную сумме такого платежа. Если Банк не примет иного решения, никакое последующее депонирование Банком средств на специальном счете не будет производиться, пока Заемщик не представит такое подтверждение или не произведет такое депонирование или возврат, в зависимости от обстоятельств. </w:t>
      </w:r>
      <w:r>
        <w:br/>
      </w:r>
      <w:r>
        <w:rPr>
          <w:rFonts w:ascii="Times New Roman"/>
          <w:b w:val="false"/>
          <w:i w:val="false"/>
          <w:color w:val="000000"/>
          <w:sz w:val="28"/>
        </w:rPr>
        <w:t xml:space="preserve">
      (b) Если Банк в любое время устанавливает, что сумма, не предъявленная к платежу на специальном счете, не потребуется для обеспечения платежей по приемлемым расходам в течение шести месяцев после такого решения, Заемщик по получении уведомления из Банка немедленно возвращает в Банк такую не предъявленную к платежу сумму. </w:t>
      </w:r>
    </w:p>
    <w:bookmarkEnd w:id="6"/>
    <w:bookmarkStart w:name="z3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(c) Заемщик может по получении уведомления Банка, вернуть в Банк все </w:t>
      </w:r>
    </w:p>
    <w:p>
      <w:pPr>
        <w:spacing w:after="0"/>
        <w:ind w:left="0"/>
        <w:jc w:val="both"/>
      </w:pPr>
      <w:r>
        <w:rPr>
          <w:rFonts w:ascii="Times New Roman"/>
          <w:b w:val="false"/>
          <w:i w:val="false"/>
          <w:color w:val="000000"/>
          <w:sz w:val="28"/>
        </w:rPr>
        <w:t>или часть средств, депонированных на специальном счете.</w:t>
      </w:r>
    </w:p>
    <w:p>
      <w:pPr>
        <w:spacing w:after="0"/>
        <w:ind w:left="0"/>
        <w:jc w:val="both"/>
      </w:pPr>
      <w:r>
        <w:rPr>
          <w:rFonts w:ascii="Times New Roman"/>
          <w:b w:val="false"/>
          <w:i w:val="false"/>
          <w:color w:val="000000"/>
          <w:sz w:val="28"/>
        </w:rPr>
        <w:t xml:space="preserve">     (d) Сумма, возвращаемая в Банк согласно подпункту (а), (b) или (с) </w:t>
      </w:r>
    </w:p>
    <w:p>
      <w:pPr>
        <w:spacing w:after="0"/>
        <w:ind w:left="0"/>
        <w:jc w:val="both"/>
      </w:pPr>
      <w:r>
        <w:rPr>
          <w:rFonts w:ascii="Times New Roman"/>
          <w:b w:val="false"/>
          <w:i w:val="false"/>
          <w:color w:val="000000"/>
          <w:sz w:val="28"/>
        </w:rPr>
        <w:t xml:space="preserve">настоящего пункта 6, записывается на счет Займа для последующего снятия со </w:t>
      </w:r>
    </w:p>
    <w:p>
      <w:pPr>
        <w:spacing w:after="0"/>
        <w:ind w:left="0"/>
        <w:jc w:val="both"/>
      </w:pPr>
      <w:r>
        <w:rPr>
          <w:rFonts w:ascii="Times New Roman"/>
          <w:b w:val="false"/>
          <w:i w:val="false"/>
          <w:color w:val="000000"/>
          <w:sz w:val="28"/>
        </w:rPr>
        <w:t>счета или аннулирования в соответствии с положениями Соглашения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Дополнение А</w:t>
      </w:r>
    </w:p>
    <w:p>
      <w:pPr>
        <w:spacing w:after="0"/>
        <w:ind w:left="0"/>
        <w:jc w:val="both"/>
      </w:pPr>
      <w:r>
        <w:rPr>
          <w:rFonts w:ascii="Times New Roman"/>
          <w:b w:val="false"/>
          <w:i w:val="false"/>
          <w:color w:val="000000"/>
          <w:sz w:val="28"/>
        </w:rPr>
        <w:t xml:space="preserve">                                    к </w:t>
      </w:r>
    </w:p>
    <w:p>
      <w:pPr>
        <w:spacing w:after="0"/>
        <w:ind w:left="0"/>
        <w:jc w:val="both"/>
      </w:pPr>
      <w:r>
        <w:rPr>
          <w:rFonts w:ascii="Times New Roman"/>
          <w:b w:val="false"/>
          <w:i w:val="false"/>
          <w:color w:val="000000"/>
          <w:sz w:val="28"/>
        </w:rPr>
        <w:t>                              Приложению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Ведение специального счета в случаях,</w:t>
      </w:r>
    </w:p>
    <w:p>
      <w:pPr>
        <w:spacing w:after="0"/>
        <w:ind w:left="0"/>
        <w:jc w:val="both"/>
      </w:pPr>
      <w:r>
        <w:rPr>
          <w:rFonts w:ascii="Times New Roman"/>
          <w:b w:val="false"/>
          <w:i w:val="false"/>
          <w:color w:val="000000"/>
          <w:sz w:val="28"/>
        </w:rPr>
        <w:t xml:space="preserve">        когда снятие средств со счета производится не на основании </w:t>
      </w:r>
    </w:p>
    <w:p>
      <w:pPr>
        <w:spacing w:after="0"/>
        <w:ind w:left="0"/>
        <w:jc w:val="both"/>
      </w:pPr>
      <w:r>
        <w:rPr>
          <w:rFonts w:ascii="Times New Roman"/>
          <w:b w:val="false"/>
          <w:i w:val="false"/>
          <w:color w:val="000000"/>
          <w:sz w:val="28"/>
        </w:rPr>
        <w:t>                   отчетов об управлении Проектом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дополнения: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термин "Разрешенное отчисление" означает сумму в пересчете на доллары США, составляющую 1,500,000, которая снимается со счета Займа и депонируется на специальном счете согласно пункту 2 настоящего дополнения, при условии, что Банк не принял иного решения. Разрешенное отчисление ограничивается суммой, в пересчете на доллары США составляющей 750,000 до того как совокупная сумма средств, снятых со счета Займа, плюс общая сумма всех специальных обязательств, по которым существуют не предъявленные к платежу суммы и которые приняты Банком согласно разделу 5.02 Общих условий, равняется или превышает суммы, в пересчете на доллары США составляющей 10,000,000. </w:t>
      </w:r>
      <w:r>
        <w:br/>
      </w:r>
      <w:r>
        <w:rPr>
          <w:rFonts w:ascii="Times New Roman"/>
          <w:b w:val="false"/>
          <w:i w:val="false"/>
          <w:color w:val="000000"/>
          <w:sz w:val="28"/>
        </w:rPr>
        <w:t xml:space="preserve">
      2. Снятие средств разрешенного отчисления со специального счета и дальнейшее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для снятия средств вышеназванного разрешенного отчисления со специального счета Заемщик представляет Банку запрос или запросы на депонирование на специальном счете суммы или сумм, которые в совокупности не превышают сумму вышеназванного разрешенного отчисления. На основании каждого такого запроса Банк от имени Заемщика снимает со счета Займа и депонирует на вышеназванном специальном счете такую сумму, которую Заемщик запросит. </w:t>
      </w:r>
      <w:r>
        <w:br/>
      </w:r>
      <w:r>
        <w:rPr>
          <w:rFonts w:ascii="Times New Roman"/>
          <w:b w:val="false"/>
          <w:i w:val="false"/>
          <w:color w:val="000000"/>
          <w:sz w:val="28"/>
        </w:rPr>
        <w:t xml:space="preserve">
      (b) для пополнения вышеназванного специального счета Заемщик представляет Банку запросы на депонирование средств на вышеназванном специальном счете с такой регулярностью, как это определяет Банк. До каждого такого запроса или во время его представления Заемщик представляет Банку документы и иное подтверждение, требующиеся согласно части В. 3 приложения 1 к настоящему Соглашению, платежа или платежей, в отношении которых пополнение запрашивается. На основании каждого такого запроса Банк от имени Заемщика снимает со счета Займа и депонирует на специальном счете такую сумму, которую Заемщик запросил и которая указывается в вышеназванных документах и ином подтверждении к выплате с вышеназванного специального счета на приемлемые расходы. Сумма каждого такого депонирования на вышеназванном специальном счете снимается Банком со счета Займа по одной или более приемлемым категориям специального счета. </w:t>
      </w:r>
      <w:r>
        <w:br/>
      </w:r>
      <w:r>
        <w:rPr>
          <w:rFonts w:ascii="Times New Roman"/>
          <w:b w:val="false"/>
          <w:i w:val="false"/>
          <w:color w:val="000000"/>
          <w:sz w:val="28"/>
        </w:rPr>
        <w:t xml:space="preserve">
      3. Банк не обязан производить последующее депонирование средств на специальном счете, как только общая неснятая сумма Займа минус общая сумма всех специальных обязательств, по которым существуют не предъявленные к платежу суммы и которые приняты на себя Банком согласно разделу 5.02 Общих условий, в отношении расходов, финансируемых из средств Займа, выделенных для вышеназванных категорий, стала равной эквиваленту суммы, в два раза превышающей сумму разрешенного отчисления со специального счета. После этого при снятии со счета Займа суммы Займа, остающейся неснятой, которая выделена для вышеназванных категорий, соблюдаются такие процедуры, о которых Банк сообщает в уведомлении Заемщику. Такое дальнейшее снятие средств со счета производится только после того, когда Банк убедится в том, что все такие суммы, остающиеся депонированными на специальном счете на дату такого уведомления, будут использованы для осуществления платежей на приемлемые расходы и в той мере, какой Банк убедится в этом. </w:t>
      </w:r>
      <w:r>
        <w:br/>
      </w:r>
      <w:r>
        <w:rPr>
          <w:rFonts w:ascii="Times New Roman"/>
          <w:b w:val="false"/>
          <w:i w:val="false"/>
          <w:color w:val="000000"/>
          <w:sz w:val="28"/>
        </w:rPr>
        <w:t>
 </w:t>
      </w:r>
      <w:r>
        <w:br/>
      </w:r>
      <w:r>
        <w:rPr>
          <w:rFonts w:ascii="Times New Roman"/>
          <w:b w:val="false"/>
          <w:i w:val="false"/>
          <w:color w:val="000000"/>
          <w:sz w:val="28"/>
        </w:rPr>
        <w:t xml:space="preserve">
                               Дополнение В </w:t>
      </w:r>
      <w:r>
        <w:br/>
      </w:r>
      <w:r>
        <w:rPr>
          <w:rFonts w:ascii="Times New Roman"/>
          <w:b w:val="false"/>
          <w:i w:val="false"/>
          <w:color w:val="000000"/>
          <w:sz w:val="28"/>
        </w:rPr>
        <w:t xml:space="preserve">
                                    к </w:t>
      </w:r>
      <w:r>
        <w:br/>
      </w:r>
      <w:r>
        <w:rPr>
          <w:rFonts w:ascii="Times New Roman"/>
          <w:b w:val="false"/>
          <w:i w:val="false"/>
          <w:color w:val="000000"/>
          <w:sz w:val="28"/>
        </w:rPr>
        <w:t xml:space="preserve">
                               Приложению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Ведение специального Счета в случаях, </w:t>
      </w:r>
      <w:r>
        <w:br/>
      </w:r>
      <w:r>
        <w:rPr>
          <w:rFonts w:ascii="Times New Roman"/>
          <w:b w:val="false"/>
          <w:i w:val="false"/>
          <w:color w:val="000000"/>
          <w:sz w:val="28"/>
        </w:rPr>
        <w:t xml:space="preserve">
            когда снятие средств со счета производится на основании </w:t>
      </w:r>
      <w:r>
        <w:br/>
      </w:r>
      <w:r>
        <w:rPr>
          <w:rFonts w:ascii="Times New Roman"/>
          <w:b w:val="false"/>
          <w:i w:val="false"/>
          <w:color w:val="000000"/>
          <w:sz w:val="28"/>
        </w:rPr>
        <w:t xml:space="preserve">
                      отчетов об управлении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случаев, когда Банк может в другом отношении указать путем уведомления Заемщику, что при любом снятии средств со счета Займа такие средства депонируются Банком на специальном счете в соответствии с положениями приложения 1 к настоящему Соглашению. Средства каждого такого депонирования на специальном счете снимаются Банком со счета Займа по одной или более приемлемым категориям вышеназванного специального счета. </w:t>
      </w:r>
      <w:r>
        <w:br/>
      </w:r>
      <w:r>
        <w:rPr>
          <w:rFonts w:ascii="Times New Roman"/>
          <w:b w:val="false"/>
          <w:i w:val="false"/>
          <w:color w:val="000000"/>
          <w:sz w:val="28"/>
        </w:rPr>
        <w:t xml:space="preserve">
      2. Каждая заявка на снятие средств со счета Займа на депонирование на специальном счете должна подтверждаться отчетом об управлении Проектом. </w:t>
      </w:r>
      <w:r>
        <w:br/>
      </w:r>
      <w:r>
        <w:rPr>
          <w:rFonts w:ascii="Times New Roman"/>
          <w:b w:val="false"/>
          <w:i w:val="false"/>
          <w:color w:val="000000"/>
          <w:sz w:val="28"/>
        </w:rPr>
        <w:t xml:space="preserve">
      3. По получении каждой заявки на снятие средств со Счета Займа Банк от имени Заемщика снимает со Счета займа и депонирует на специальном счете сумму, равную сумме, которая меньше: </w:t>
      </w:r>
      <w:r>
        <w:br/>
      </w:r>
      <w:r>
        <w:rPr>
          <w:rFonts w:ascii="Times New Roman"/>
          <w:b w:val="false"/>
          <w:i w:val="false"/>
          <w:color w:val="000000"/>
          <w:sz w:val="28"/>
        </w:rPr>
        <w:t xml:space="preserve">
      (a) суммы, таким образом, запрашиваемой; и </w:t>
      </w:r>
      <w:r>
        <w:br/>
      </w:r>
      <w:r>
        <w:rPr>
          <w:rFonts w:ascii="Times New Roman"/>
          <w:b w:val="false"/>
          <w:i w:val="false"/>
          <w:color w:val="000000"/>
          <w:sz w:val="28"/>
        </w:rPr>
        <w:t xml:space="preserve">
      (b) суммы, которую определил Банк на основании отчета об управлении Проектом, сопровождающего вышеназванную заявку, необходимой для депонирования, чтобы финансировать приемлемые расходы в течение шести месяцев после даты такого отчета; при условии, однако, что сумма, таким образом, депонируемая при прибавлении к сумме, указываемой в вышеназванном отчете об управлении Проектом, остающейся на упомянутом специальном счете не превышает суммы в пересчете на доллары США составляющей 1,500,000.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Целями Проекта являются следующие: </w:t>
      </w:r>
      <w:r>
        <w:br/>
      </w:r>
      <w:r>
        <w:rPr>
          <w:rFonts w:ascii="Times New Roman"/>
          <w:b w:val="false"/>
          <w:i w:val="false"/>
          <w:color w:val="000000"/>
          <w:sz w:val="28"/>
        </w:rPr>
        <w:t xml:space="preserve">
      (i) обеспечение существования Северо-Аральского моря (САМ) и улучшение пропускной способности реки Сыр-Дарья, улучшение экологических и природоохранных условий и биологического разнообразия в дельте САМ и вокруг него, что приведет к улучшению здоровья людей и животных; и </w:t>
      </w:r>
      <w:r>
        <w:br/>
      </w:r>
      <w:r>
        <w:rPr>
          <w:rFonts w:ascii="Times New Roman"/>
          <w:b w:val="false"/>
          <w:i w:val="false"/>
          <w:color w:val="000000"/>
          <w:sz w:val="28"/>
        </w:rPr>
        <w:t xml:space="preserve">
      (ii) поддержание и увеличение производства сельскохозяйственной продукции (включая животноводство) и продуктов рыболовства в бассейне реки Сыр-Дарья; </w:t>
      </w:r>
      <w:r>
        <w:br/>
      </w:r>
      <w:r>
        <w:rPr>
          <w:rFonts w:ascii="Times New Roman"/>
          <w:b w:val="false"/>
          <w:i w:val="false"/>
          <w:color w:val="000000"/>
          <w:sz w:val="28"/>
        </w:rPr>
        <w:t xml:space="preserve">
      Проект состоит из следующих частей, в которые могут вноситься такие </w:t>
      </w:r>
    </w:p>
    <w:bookmarkEnd w:id="8"/>
    <w:bookmarkStart w:name="z3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изменения, которые Заемщик и Банк могут в то или иное время согласовать </w:t>
      </w:r>
    </w:p>
    <w:p>
      <w:pPr>
        <w:spacing w:after="0"/>
        <w:ind w:left="0"/>
        <w:jc w:val="both"/>
      </w:pPr>
      <w:r>
        <w:rPr>
          <w:rFonts w:ascii="Times New Roman"/>
          <w:b w:val="false"/>
          <w:i w:val="false"/>
          <w:color w:val="000000"/>
          <w:sz w:val="28"/>
        </w:rPr>
        <w:t>для достижения таких целей: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А: Восстановление Северо-Аральского моря (САМ)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перемычки через пролив, соединяющий САМ и Большое </w:t>
      </w:r>
    </w:p>
    <w:p>
      <w:pPr>
        <w:spacing w:after="0"/>
        <w:ind w:left="0"/>
        <w:jc w:val="both"/>
      </w:pPr>
      <w:r>
        <w:rPr>
          <w:rFonts w:ascii="Times New Roman"/>
          <w:b w:val="false"/>
          <w:i w:val="false"/>
          <w:color w:val="000000"/>
          <w:sz w:val="28"/>
        </w:rPr>
        <w:t xml:space="preserve">Южно-Аральское море (БЮАМ) и водосливной плотины. </w:t>
      </w:r>
    </w:p>
    <w:p>
      <w:pPr>
        <w:spacing w:after="0"/>
        <w:ind w:left="0"/>
        <w:jc w:val="both"/>
      </w:pPr>
      <w:r>
        <w:rPr>
          <w:rFonts w:ascii="Times New Roman"/>
          <w:b w:val="false"/>
          <w:i w:val="false"/>
          <w:color w:val="000000"/>
          <w:sz w:val="28"/>
        </w:rPr>
        <w:t>     Часть В. Улучшение гидравлического регулирования на Сыр-Дарье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Реконструкция и строительство гидротехнических сооружений, включая </w:t>
      </w:r>
    </w:p>
    <w:p>
      <w:pPr>
        <w:spacing w:after="0"/>
        <w:ind w:left="0"/>
        <w:jc w:val="both"/>
      </w:pPr>
      <w:r>
        <w:rPr>
          <w:rFonts w:ascii="Times New Roman"/>
          <w:b w:val="false"/>
          <w:i w:val="false"/>
          <w:color w:val="000000"/>
          <w:sz w:val="28"/>
        </w:rPr>
        <w:t>следующие работы:</w:t>
      </w:r>
    </w:p>
    <w:p>
      <w:pPr>
        <w:spacing w:after="0"/>
        <w:ind w:left="0"/>
        <w:jc w:val="both"/>
      </w:pPr>
      <w:r>
        <w:rPr>
          <w:rFonts w:ascii="Times New Roman"/>
          <w:b w:val="false"/>
          <w:i w:val="false"/>
          <w:color w:val="000000"/>
          <w:sz w:val="28"/>
        </w:rPr>
        <w:t xml:space="preserve">     (i) реконструкция водосливной плотины Аклак (и связанные с ним </w:t>
      </w:r>
    </w:p>
    <w:p>
      <w:pPr>
        <w:spacing w:after="0"/>
        <w:ind w:left="0"/>
        <w:jc w:val="both"/>
      </w:pPr>
      <w:r>
        <w:rPr>
          <w:rFonts w:ascii="Times New Roman"/>
          <w:b w:val="false"/>
          <w:i w:val="false"/>
          <w:color w:val="000000"/>
          <w:sz w:val="28"/>
        </w:rPr>
        <w:t xml:space="preserve">работы); </w:t>
      </w:r>
    </w:p>
    <w:p>
      <w:pPr>
        <w:spacing w:after="0"/>
        <w:ind w:left="0"/>
        <w:jc w:val="both"/>
      </w:pPr>
      <w:r>
        <w:rPr>
          <w:rFonts w:ascii="Times New Roman"/>
          <w:b w:val="false"/>
          <w:i w:val="false"/>
          <w:color w:val="000000"/>
          <w:sz w:val="28"/>
        </w:rPr>
        <w:t xml:space="preserve">     (ii) реконструкция водорегулирующих сооружений Айтек и Караозек и </w:t>
      </w:r>
    </w:p>
    <w:p>
      <w:pPr>
        <w:spacing w:after="0"/>
        <w:ind w:left="0"/>
        <w:jc w:val="both"/>
      </w:pPr>
      <w:r>
        <w:rPr>
          <w:rFonts w:ascii="Times New Roman"/>
          <w:b w:val="false"/>
          <w:i w:val="false"/>
          <w:color w:val="000000"/>
          <w:sz w:val="28"/>
        </w:rPr>
        <w:t xml:space="preserve">связанные с ним работы; </w:t>
      </w:r>
    </w:p>
    <w:p>
      <w:pPr>
        <w:spacing w:after="0"/>
        <w:ind w:left="0"/>
        <w:jc w:val="both"/>
      </w:pPr>
      <w:r>
        <w:rPr>
          <w:rFonts w:ascii="Times New Roman"/>
          <w:b w:val="false"/>
          <w:i w:val="false"/>
          <w:color w:val="000000"/>
          <w:sz w:val="28"/>
        </w:rPr>
        <w:t xml:space="preserve">     (iii) ремонт головных сооружений в городе Казалинске и заграждений в </w:t>
      </w:r>
    </w:p>
    <w:p>
      <w:pPr>
        <w:spacing w:after="0"/>
        <w:ind w:left="0"/>
        <w:jc w:val="both"/>
      </w:pPr>
      <w:r>
        <w:rPr>
          <w:rFonts w:ascii="Times New Roman"/>
          <w:b w:val="false"/>
          <w:i w:val="false"/>
          <w:color w:val="000000"/>
          <w:sz w:val="28"/>
        </w:rPr>
        <w:t>городе Кзыл-Орде; и</w:t>
      </w:r>
    </w:p>
    <w:p>
      <w:pPr>
        <w:spacing w:after="0"/>
        <w:ind w:left="0"/>
        <w:jc w:val="both"/>
      </w:pPr>
      <w:r>
        <w:rPr>
          <w:rFonts w:ascii="Times New Roman"/>
          <w:b w:val="false"/>
          <w:i w:val="false"/>
          <w:color w:val="000000"/>
          <w:sz w:val="28"/>
        </w:rPr>
        <w:t xml:space="preserve">     (iv) реконструкция и строительство перемычек небольшой высоты по реке </w:t>
      </w:r>
    </w:p>
    <w:p>
      <w:pPr>
        <w:spacing w:after="0"/>
        <w:ind w:left="0"/>
        <w:jc w:val="both"/>
      </w:pPr>
      <w:r>
        <w:rPr>
          <w:rFonts w:ascii="Times New Roman"/>
          <w:b w:val="false"/>
          <w:i w:val="false"/>
          <w:color w:val="000000"/>
          <w:sz w:val="28"/>
        </w:rPr>
        <w:t>и трудно проходимые места пролива реки.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С: Восстановление Чардаринской плотины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Восстановительные работы на Чардаринской плотине, включая восстановление оросительного Кызылкумского водозабора - водовыпуска, системы дренажа, перепускных шиберов и ремонт водосбросных сооружений, быстротоков, водобойных колодцев Караозек и связанные с ним работы, и установку на плотинах измерительных приборов. </w:t>
      </w:r>
      <w:r>
        <w:br/>
      </w:r>
      <w:r>
        <w:rPr>
          <w:rFonts w:ascii="Times New Roman"/>
          <w:b w:val="false"/>
          <w:i w:val="false"/>
          <w:color w:val="000000"/>
          <w:sz w:val="28"/>
        </w:rPr>
        <w:t>
 </w:t>
      </w:r>
      <w:r>
        <w:br/>
      </w:r>
      <w:r>
        <w:rPr>
          <w:rFonts w:ascii="Times New Roman"/>
          <w:b w:val="false"/>
          <w:i w:val="false"/>
          <w:color w:val="000000"/>
          <w:sz w:val="28"/>
        </w:rPr>
        <w:t xml:space="preserve">
      Часть D: Восстановление гидроресурсов и развитие рыболовного промысла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разработка и выполнение плана развития рыболовного промысла; и </w:t>
      </w:r>
      <w:r>
        <w:br/>
      </w:r>
      <w:r>
        <w:rPr>
          <w:rFonts w:ascii="Times New Roman"/>
          <w:b w:val="false"/>
          <w:i w:val="false"/>
          <w:color w:val="000000"/>
          <w:sz w:val="28"/>
        </w:rPr>
        <w:t xml:space="preserve">
      (ii) восстановление существующих станций на Камышбаше и Тастеке.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Е: Текущий контроль и оценка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Текущий контроль и оценка хода выполнения Проекта, его влияния и выполнение Плана по охране окружающей среды через оказание услуг, обучение и приобретение транспортных средств и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F: Управление Проектом и институциональное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Поддержка деятельности Группы управления Проектом (ГУП), включая </w:t>
      </w:r>
    </w:p>
    <w:bookmarkEnd w:id="10"/>
    <w:bookmarkStart w:name="z4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общее управление проектом, закупки, бухгалтерский учет, проведение аудита, </w:t>
      </w:r>
    </w:p>
    <w:p>
      <w:pPr>
        <w:spacing w:after="0"/>
        <w:ind w:left="0"/>
        <w:jc w:val="both"/>
      </w:pPr>
      <w:r>
        <w:rPr>
          <w:rFonts w:ascii="Times New Roman"/>
          <w:b w:val="false"/>
          <w:i w:val="false"/>
          <w:color w:val="000000"/>
          <w:sz w:val="28"/>
        </w:rPr>
        <w:t xml:space="preserve">надзор за строительством, текущий контроль, оценка и выполнение плана по </w:t>
      </w:r>
    </w:p>
    <w:p>
      <w:pPr>
        <w:spacing w:after="0"/>
        <w:ind w:left="0"/>
        <w:jc w:val="both"/>
      </w:pPr>
      <w:r>
        <w:rPr>
          <w:rFonts w:ascii="Times New Roman"/>
          <w:b w:val="false"/>
          <w:i w:val="false"/>
          <w:color w:val="000000"/>
          <w:sz w:val="28"/>
        </w:rPr>
        <w:t>охране окружающей среды; и</w:t>
      </w:r>
    </w:p>
    <w:p>
      <w:pPr>
        <w:spacing w:after="0"/>
        <w:ind w:left="0"/>
        <w:jc w:val="both"/>
      </w:pPr>
      <w:r>
        <w:rPr>
          <w:rFonts w:ascii="Times New Roman"/>
          <w:b w:val="false"/>
          <w:i w:val="false"/>
          <w:color w:val="000000"/>
          <w:sz w:val="28"/>
        </w:rPr>
        <w:t xml:space="preserve">     (ii) Усиление возможностей КВР в управлении Проектом через оказание </w:t>
      </w:r>
    </w:p>
    <w:p>
      <w:pPr>
        <w:spacing w:after="0"/>
        <w:ind w:left="0"/>
        <w:jc w:val="both"/>
      </w:pPr>
      <w:r>
        <w:rPr>
          <w:rFonts w:ascii="Times New Roman"/>
          <w:b w:val="false"/>
          <w:i w:val="false"/>
          <w:color w:val="000000"/>
          <w:sz w:val="28"/>
        </w:rPr>
        <w:t>технической помощи и обучение.</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Предполагается, что Проект будет завершен к 31 августа 2006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График постепенного погашения долга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Обусловленная дата платежа                   Уплата основной суммы</w:t>
      </w:r>
    </w:p>
    <w:p>
      <w:pPr>
        <w:spacing w:after="0"/>
        <w:ind w:left="0"/>
        <w:jc w:val="both"/>
      </w:pPr>
      <w:r>
        <w:rPr>
          <w:rFonts w:ascii="Times New Roman"/>
          <w:b w:val="false"/>
          <w:i w:val="false"/>
          <w:color w:val="000000"/>
          <w:sz w:val="28"/>
        </w:rPr>
        <w:t>                                                    (в долларах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февраля 2007 г.                                  1,355,000</w:t>
      </w:r>
    </w:p>
    <w:p>
      <w:pPr>
        <w:spacing w:after="0"/>
        <w:ind w:left="0"/>
        <w:jc w:val="both"/>
      </w:pPr>
      <w:r>
        <w:rPr>
          <w:rFonts w:ascii="Times New Roman"/>
          <w:b w:val="false"/>
          <w:i w:val="false"/>
          <w:color w:val="000000"/>
          <w:sz w:val="28"/>
        </w:rPr>
        <w:t>     15 августа 2007 г.                                  1,395,000</w:t>
      </w:r>
    </w:p>
    <w:p>
      <w:pPr>
        <w:spacing w:after="0"/>
        <w:ind w:left="0"/>
        <w:jc w:val="both"/>
      </w:pPr>
      <w:r>
        <w:rPr>
          <w:rFonts w:ascii="Times New Roman"/>
          <w:b w:val="false"/>
          <w:i w:val="false"/>
          <w:color w:val="000000"/>
          <w:sz w:val="28"/>
        </w:rPr>
        <w:t>     15 февраля 2008 г.                                  1,440,000</w:t>
      </w:r>
    </w:p>
    <w:p>
      <w:pPr>
        <w:spacing w:after="0"/>
        <w:ind w:left="0"/>
        <w:jc w:val="both"/>
      </w:pPr>
      <w:r>
        <w:rPr>
          <w:rFonts w:ascii="Times New Roman"/>
          <w:b w:val="false"/>
          <w:i w:val="false"/>
          <w:color w:val="000000"/>
          <w:sz w:val="28"/>
        </w:rPr>
        <w:t>     15 августа 2008 г.                                  1,480,000</w:t>
      </w:r>
    </w:p>
    <w:p>
      <w:pPr>
        <w:spacing w:after="0"/>
        <w:ind w:left="0"/>
        <w:jc w:val="both"/>
      </w:pPr>
      <w:r>
        <w:rPr>
          <w:rFonts w:ascii="Times New Roman"/>
          <w:b w:val="false"/>
          <w:i w:val="false"/>
          <w:color w:val="000000"/>
          <w:sz w:val="28"/>
        </w:rPr>
        <w:t>     15 февраля 2009 г.                                  1,525,000</w:t>
      </w:r>
    </w:p>
    <w:p>
      <w:pPr>
        <w:spacing w:after="0"/>
        <w:ind w:left="0"/>
        <w:jc w:val="both"/>
      </w:pPr>
      <w:r>
        <w:rPr>
          <w:rFonts w:ascii="Times New Roman"/>
          <w:b w:val="false"/>
          <w:i w:val="false"/>
          <w:color w:val="000000"/>
          <w:sz w:val="28"/>
        </w:rPr>
        <w:t>     15 августа 2009 г.                                  1,570,000</w:t>
      </w:r>
    </w:p>
    <w:p>
      <w:pPr>
        <w:spacing w:after="0"/>
        <w:ind w:left="0"/>
        <w:jc w:val="both"/>
      </w:pPr>
      <w:r>
        <w:rPr>
          <w:rFonts w:ascii="Times New Roman"/>
          <w:b w:val="false"/>
          <w:i w:val="false"/>
          <w:color w:val="000000"/>
          <w:sz w:val="28"/>
        </w:rPr>
        <w:t>     15 февраля 2010 г.                                  1,620,000</w:t>
      </w:r>
    </w:p>
    <w:p>
      <w:pPr>
        <w:spacing w:after="0"/>
        <w:ind w:left="0"/>
        <w:jc w:val="both"/>
      </w:pPr>
      <w:r>
        <w:rPr>
          <w:rFonts w:ascii="Times New Roman"/>
          <w:b w:val="false"/>
          <w:i w:val="false"/>
          <w:color w:val="000000"/>
          <w:sz w:val="28"/>
        </w:rPr>
        <w:t>     15 августа 2010 г.                                  1,665,000</w:t>
      </w:r>
    </w:p>
    <w:p>
      <w:pPr>
        <w:spacing w:after="0"/>
        <w:ind w:left="0"/>
        <w:jc w:val="both"/>
      </w:pPr>
      <w:r>
        <w:rPr>
          <w:rFonts w:ascii="Times New Roman"/>
          <w:b w:val="false"/>
          <w:i w:val="false"/>
          <w:color w:val="000000"/>
          <w:sz w:val="28"/>
        </w:rPr>
        <w:t>     15 февраля 2011 г.                                  1,715,000</w:t>
      </w:r>
    </w:p>
    <w:p>
      <w:pPr>
        <w:spacing w:after="0"/>
        <w:ind w:left="0"/>
        <w:jc w:val="both"/>
      </w:pPr>
      <w:r>
        <w:rPr>
          <w:rFonts w:ascii="Times New Roman"/>
          <w:b w:val="false"/>
          <w:i w:val="false"/>
          <w:color w:val="000000"/>
          <w:sz w:val="28"/>
        </w:rPr>
        <w:t>     15 августа 2011 г.                                  1,770,000</w:t>
      </w:r>
    </w:p>
    <w:p>
      <w:pPr>
        <w:spacing w:after="0"/>
        <w:ind w:left="0"/>
        <w:jc w:val="both"/>
      </w:pPr>
      <w:r>
        <w:rPr>
          <w:rFonts w:ascii="Times New Roman"/>
          <w:b w:val="false"/>
          <w:i w:val="false"/>
          <w:color w:val="000000"/>
          <w:sz w:val="28"/>
        </w:rPr>
        <w:t>     15 февраля 2012 г.                                  1,820,000</w:t>
      </w:r>
    </w:p>
    <w:p>
      <w:pPr>
        <w:spacing w:after="0"/>
        <w:ind w:left="0"/>
        <w:jc w:val="both"/>
      </w:pPr>
      <w:r>
        <w:rPr>
          <w:rFonts w:ascii="Times New Roman"/>
          <w:b w:val="false"/>
          <w:i w:val="false"/>
          <w:color w:val="000000"/>
          <w:sz w:val="28"/>
        </w:rPr>
        <w:t>     15 августа 2012 г.                                  1,875,000</w:t>
      </w:r>
    </w:p>
    <w:p>
      <w:pPr>
        <w:spacing w:after="0"/>
        <w:ind w:left="0"/>
        <w:jc w:val="both"/>
      </w:pPr>
      <w:r>
        <w:rPr>
          <w:rFonts w:ascii="Times New Roman"/>
          <w:b w:val="false"/>
          <w:i w:val="false"/>
          <w:color w:val="000000"/>
          <w:sz w:val="28"/>
        </w:rPr>
        <w:t>     15 февраля 2013 г.                                  1,935,000</w:t>
      </w:r>
    </w:p>
    <w:p>
      <w:pPr>
        <w:spacing w:after="0"/>
        <w:ind w:left="0"/>
        <w:jc w:val="both"/>
      </w:pPr>
      <w:r>
        <w:rPr>
          <w:rFonts w:ascii="Times New Roman"/>
          <w:b w:val="false"/>
          <w:i w:val="false"/>
          <w:color w:val="000000"/>
          <w:sz w:val="28"/>
        </w:rPr>
        <w:t>     15 августа 2013 г.                                  1,990,000</w:t>
      </w:r>
    </w:p>
    <w:p>
      <w:pPr>
        <w:spacing w:after="0"/>
        <w:ind w:left="0"/>
        <w:jc w:val="both"/>
      </w:pPr>
      <w:r>
        <w:rPr>
          <w:rFonts w:ascii="Times New Roman"/>
          <w:b w:val="false"/>
          <w:i w:val="false"/>
          <w:color w:val="000000"/>
          <w:sz w:val="28"/>
        </w:rPr>
        <w:t>     15 февраля 2014 г.                                  2,050,000</w:t>
      </w:r>
    </w:p>
    <w:p>
      <w:pPr>
        <w:spacing w:after="0"/>
        <w:ind w:left="0"/>
        <w:jc w:val="both"/>
      </w:pPr>
      <w:r>
        <w:rPr>
          <w:rFonts w:ascii="Times New Roman"/>
          <w:b w:val="false"/>
          <w:i w:val="false"/>
          <w:color w:val="000000"/>
          <w:sz w:val="28"/>
        </w:rPr>
        <w:t>     15 августа 2014 г.                                  2,110,000</w:t>
      </w:r>
    </w:p>
    <w:p>
      <w:pPr>
        <w:spacing w:after="0"/>
        <w:ind w:left="0"/>
        <w:jc w:val="both"/>
      </w:pPr>
      <w:r>
        <w:rPr>
          <w:rFonts w:ascii="Times New Roman"/>
          <w:b w:val="false"/>
          <w:i w:val="false"/>
          <w:color w:val="000000"/>
          <w:sz w:val="28"/>
        </w:rPr>
        <w:t>     15 февраля 2015 г.                                  2,175,000</w:t>
      </w:r>
    </w:p>
    <w:p>
      <w:pPr>
        <w:spacing w:after="0"/>
        <w:ind w:left="0"/>
        <w:jc w:val="both"/>
      </w:pPr>
      <w:r>
        <w:rPr>
          <w:rFonts w:ascii="Times New Roman"/>
          <w:b w:val="false"/>
          <w:i w:val="false"/>
          <w:color w:val="000000"/>
          <w:sz w:val="28"/>
        </w:rPr>
        <w:t>     15 августа 2015 г.                                  2,240,000</w:t>
      </w:r>
    </w:p>
    <w:p>
      <w:pPr>
        <w:spacing w:after="0"/>
        <w:ind w:left="0"/>
        <w:jc w:val="both"/>
      </w:pPr>
      <w:r>
        <w:rPr>
          <w:rFonts w:ascii="Times New Roman"/>
          <w:b w:val="false"/>
          <w:i w:val="false"/>
          <w:color w:val="000000"/>
          <w:sz w:val="28"/>
        </w:rPr>
        <w:t>     15 февраля 2016 г.                                  2,310,000</w:t>
      </w:r>
    </w:p>
    <w:p>
      <w:pPr>
        <w:spacing w:after="0"/>
        <w:ind w:left="0"/>
        <w:jc w:val="both"/>
      </w:pPr>
      <w:r>
        <w:rPr>
          <w:rFonts w:ascii="Times New Roman"/>
          <w:b w:val="false"/>
          <w:i w:val="false"/>
          <w:color w:val="000000"/>
          <w:sz w:val="28"/>
        </w:rPr>
        <w:t>     15 августа 2016 г.                                  2,375,000</w:t>
      </w:r>
    </w:p>
    <w:p>
      <w:pPr>
        <w:spacing w:after="0"/>
        <w:ind w:left="0"/>
        <w:jc w:val="both"/>
      </w:pPr>
      <w:r>
        <w:rPr>
          <w:rFonts w:ascii="Times New Roman"/>
          <w:b w:val="false"/>
          <w:i w:val="false"/>
          <w:color w:val="000000"/>
          <w:sz w:val="28"/>
        </w:rPr>
        <w:t>     15 февраля 2017 г.                                  2,450,000</w:t>
      </w:r>
    </w:p>
    <w:p>
      <w:pPr>
        <w:spacing w:after="0"/>
        <w:ind w:left="0"/>
        <w:jc w:val="both"/>
      </w:pPr>
      <w:r>
        <w:rPr>
          <w:rFonts w:ascii="Times New Roman"/>
          <w:b w:val="false"/>
          <w:i w:val="false"/>
          <w:color w:val="000000"/>
          <w:sz w:val="28"/>
        </w:rPr>
        <w:t>     15 августа 2017 г.                                  2,520,000</w:t>
      </w:r>
    </w:p>
    <w:p>
      <w:pPr>
        <w:spacing w:after="0"/>
        <w:ind w:left="0"/>
        <w:jc w:val="both"/>
      </w:pPr>
      <w:r>
        <w:rPr>
          <w:rFonts w:ascii="Times New Roman"/>
          <w:b w:val="false"/>
          <w:i w:val="false"/>
          <w:color w:val="000000"/>
          <w:sz w:val="28"/>
        </w:rPr>
        <w:t>     15 февраля 2018 г.                                  2,600,000</w:t>
      </w:r>
    </w:p>
    <w:p>
      <w:pPr>
        <w:spacing w:after="0"/>
        <w:ind w:left="0"/>
        <w:jc w:val="both"/>
      </w:pPr>
      <w:r>
        <w:rPr>
          <w:rFonts w:ascii="Times New Roman"/>
          <w:b w:val="false"/>
          <w:i w:val="false"/>
          <w:color w:val="000000"/>
          <w:sz w:val="28"/>
        </w:rPr>
        <w:t>     15 августа 2018 г.                                  2,675,000</w:t>
      </w:r>
    </w:p>
    <w:p>
      <w:pPr>
        <w:spacing w:after="0"/>
        <w:ind w:left="0"/>
        <w:jc w:val="both"/>
      </w:pPr>
      <w:r>
        <w:rPr>
          <w:rFonts w:ascii="Times New Roman"/>
          <w:b w:val="false"/>
          <w:i w:val="false"/>
          <w:color w:val="000000"/>
          <w:sz w:val="28"/>
        </w:rPr>
        <w:t>     15 февраля 2019 г.                                  2,755,000</w:t>
      </w:r>
    </w:p>
    <w:p>
      <w:pPr>
        <w:spacing w:after="0"/>
        <w:ind w:left="0"/>
        <w:jc w:val="both"/>
      </w:pPr>
      <w:r>
        <w:rPr>
          <w:rFonts w:ascii="Times New Roman"/>
          <w:b w:val="false"/>
          <w:i w:val="false"/>
          <w:color w:val="000000"/>
          <w:sz w:val="28"/>
        </w:rPr>
        <w:t>     15 августа 2019 г.                                  2,840,000</w:t>
      </w:r>
    </w:p>
    <w:p>
      <w:pPr>
        <w:spacing w:after="0"/>
        <w:ind w:left="0"/>
        <w:jc w:val="both"/>
      </w:pPr>
      <w:r>
        <w:rPr>
          <w:rFonts w:ascii="Times New Roman"/>
          <w:b w:val="false"/>
          <w:i w:val="false"/>
          <w:color w:val="000000"/>
          <w:sz w:val="28"/>
        </w:rPr>
        <w:t>     15 февраля 2020 г.                                  2,925,000</w:t>
      </w:r>
    </w:p>
    <w:p>
      <w:pPr>
        <w:spacing w:after="0"/>
        <w:ind w:left="0"/>
        <w:jc w:val="both"/>
      </w:pPr>
      <w:r>
        <w:rPr>
          <w:rFonts w:ascii="Times New Roman"/>
          <w:b w:val="false"/>
          <w:i w:val="false"/>
          <w:color w:val="000000"/>
          <w:sz w:val="28"/>
        </w:rPr>
        <w:t>     15 августа 2020 г.                                  3,010,000</w:t>
      </w:r>
    </w:p>
    <w:p>
      <w:pPr>
        <w:spacing w:after="0"/>
        <w:ind w:left="0"/>
        <w:jc w:val="both"/>
      </w:pPr>
      <w:r>
        <w:rPr>
          <w:rFonts w:ascii="Times New Roman"/>
          <w:b w:val="false"/>
          <w:i w:val="false"/>
          <w:color w:val="000000"/>
          <w:sz w:val="28"/>
        </w:rPr>
        <w:t>     15 февраля 2021 г.                                  3,100,000</w:t>
      </w:r>
    </w:p>
    <w:p>
      <w:pPr>
        <w:spacing w:after="0"/>
        <w:ind w:left="0"/>
        <w:jc w:val="both"/>
      </w:pPr>
      <w:r>
        <w:rPr>
          <w:rFonts w:ascii="Times New Roman"/>
          <w:b w:val="false"/>
          <w:i w:val="false"/>
          <w:color w:val="000000"/>
          <w:sz w:val="28"/>
        </w:rPr>
        <w:t>     15 августа 2021 г.                                  3,210,000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Цифры в этой колонке представляют сумму в долларах США, подлежащую </w:t>
      </w:r>
    </w:p>
    <w:p>
      <w:pPr>
        <w:spacing w:after="0"/>
        <w:ind w:left="0"/>
        <w:jc w:val="both"/>
      </w:pPr>
      <w:r>
        <w:rPr>
          <w:rFonts w:ascii="Times New Roman"/>
          <w:b w:val="false"/>
          <w:i w:val="false"/>
          <w:color w:val="000000"/>
          <w:sz w:val="28"/>
        </w:rPr>
        <w:t xml:space="preserve">погашению, кроме случаев, о которых говорится в Разделе 4.04 (d) Общих </w:t>
      </w:r>
    </w:p>
    <w:p>
      <w:pPr>
        <w:spacing w:after="0"/>
        <w:ind w:left="0"/>
        <w:jc w:val="both"/>
      </w:pPr>
      <w:r>
        <w:rPr>
          <w:rFonts w:ascii="Times New Roman"/>
          <w:b w:val="false"/>
          <w:i w:val="false"/>
          <w:color w:val="000000"/>
          <w:sz w:val="28"/>
        </w:rPr>
        <w:t>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xml:space="preserve">                                 Закупки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12"/>
    <w:p>
      <w:pPr>
        <w:spacing w:after="0"/>
        <w:ind w:left="0"/>
        <w:jc w:val="both"/>
      </w:pPr>
      <w:r>
        <w:rPr>
          <w:rFonts w:ascii="Times New Roman"/>
          <w:b w:val="false"/>
          <w:i w:val="false"/>
          <w:color w:val="000000"/>
          <w:sz w:val="28"/>
        </w:rPr>
        <w:t xml:space="preserve">
                                 Раздел I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Закупки товаров и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3"/>
    <w:p>
      <w:pPr>
        <w:spacing w:after="0"/>
        <w:ind w:left="0"/>
        <w:jc w:val="both"/>
      </w:pPr>
      <w:r>
        <w:rPr>
          <w:rFonts w:ascii="Times New Roman"/>
          <w:b w:val="false"/>
          <w:i w:val="false"/>
          <w:color w:val="000000"/>
          <w:sz w:val="28"/>
        </w:rPr>
        <w:t xml:space="preserve">
                                 Часть А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сведения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Закупки товаров и работ производятся в соответствии с положениями раздела I "Руководства по закупкам по Займам МБРР и кредитам МАР", опубликованного Банком в январе 1995 и пересмотренного в январе и августе 1996 года, сентябре 1997 года и январе 1999 года (Руководство), а также положениями раздела настоящего приложения. </w:t>
      </w:r>
      <w:r>
        <w:br/>
      </w:r>
      <w:r>
        <w:rPr>
          <w:rFonts w:ascii="Times New Roman"/>
          <w:b w:val="false"/>
          <w:i w:val="false"/>
          <w:color w:val="000000"/>
          <w:sz w:val="28"/>
        </w:rPr>
        <w:t>
 </w:t>
      </w:r>
    </w:p>
    <w:bookmarkEnd w:id="14"/>
    <w:bookmarkStart w:name="z47" w:id="15"/>
    <w:p>
      <w:pPr>
        <w:spacing w:after="0"/>
        <w:ind w:left="0"/>
        <w:jc w:val="both"/>
      </w:pPr>
      <w:r>
        <w:rPr>
          <w:rFonts w:ascii="Times New Roman"/>
          <w:b w:val="false"/>
          <w:i w:val="false"/>
          <w:color w:val="000000"/>
          <w:sz w:val="28"/>
        </w:rPr>
        <w:t xml:space="preserve">
                                 Часть В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Международные конкурентные торги </w:t>
      </w:r>
      <w:r>
        <w:br/>
      </w:r>
      <w:r>
        <w:rPr>
          <w:rFonts w:ascii="Times New Roman"/>
          <w:b w:val="false"/>
          <w:i w:val="false"/>
          <w:color w:val="000000"/>
          <w:sz w:val="28"/>
        </w:rPr>
        <w:t>
 </w:t>
      </w:r>
      <w:r>
        <w:br/>
      </w:r>
      <w:r>
        <w:rPr>
          <w:rFonts w:ascii="Times New Roman"/>
          <w:b w:val="false"/>
          <w:i w:val="false"/>
          <w:color w:val="000000"/>
          <w:sz w:val="28"/>
        </w:rPr>
        <w:t xml:space="preserve">
      1. Кроме случаев, когда в части С настоящего раздела предусматривается иное, закупки товаров и работ производятся согласно контрактам, заключенным в соответствии с положениями раздела II Руководства и пункта 5 приложения 1 к нему. </w:t>
      </w:r>
      <w:r>
        <w:br/>
      </w:r>
      <w:r>
        <w:rPr>
          <w:rFonts w:ascii="Times New Roman"/>
          <w:b w:val="false"/>
          <w:i w:val="false"/>
          <w:color w:val="000000"/>
          <w:sz w:val="28"/>
        </w:rPr>
        <w:t xml:space="preserve">
      2. Следующие положения применяются к товарам и работам, закупаемым согласно контрактам, заключенным в соответствии с положениями пункта 1 настоящей части В. </w:t>
      </w:r>
      <w:r>
        <w:br/>
      </w:r>
      <w:r>
        <w:rPr>
          <w:rFonts w:ascii="Times New Roman"/>
          <w:b w:val="false"/>
          <w:i w:val="false"/>
          <w:color w:val="000000"/>
          <w:sz w:val="28"/>
        </w:rPr>
        <w:t xml:space="preserve">
      (а) Предварительная оценка </w:t>
      </w:r>
      <w:r>
        <w:br/>
      </w:r>
      <w:r>
        <w:rPr>
          <w:rFonts w:ascii="Times New Roman"/>
          <w:b w:val="false"/>
          <w:i w:val="false"/>
          <w:color w:val="000000"/>
          <w:sz w:val="28"/>
        </w:rPr>
        <w:t xml:space="preserve">
      Участникам торгов, предлагающие выполнение работ, стоимость которых согласно оценкам составляет свыше 10,000,000 долларов США, дается предварительная оценка в соответствии с положениями пунктов 2.9 и 2.10 Руководства. </w:t>
      </w:r>
      <w:r>
        <w:br/>
      </w:r>
      <w:r>
        <w:rPr>
          <w:rFonts w:ascii="Times New Roman"/>
          <w:b w:val="false"/>
          <w:i w:val="false"/>
          <w:color w:val="000000"/>
          <w:sz w:val="28"/>
        </w:rPr>
        <w:t xml:space="preserve">
      (b) Уведомление и публикация объявления </w:t>
      </w:r>
      <w:r>
        <w:br/>
      </w:r>
      <w:r>
        <w:rPr>
          <w:rFonts w:ascii="Times New Roman"/>
          <w:b w:val="false"/>
          <w:i w:val="false"/>
          <w:color w:val="000000"/>
          <w:sz w:val="28"/>
        </w:rPr>
        <w:t xml:space="preserve">
      Объявление с приглашением пройти предварительную оценку или представить предложение о заключении каждого контракта, стоимость которого согласно оценкам в пересчете на доллары США составляет 10,000,000 или больше, публикуется в соответствии с процедурами, применяемыми к крупным контрактам согласно пункту 2.8 Руководства. </w:t>
      </w:r>
      <w:r>
        <w:br/>
      </w:r>
      <w:r>
        <w:rPr>
          <w:rFonts w:ascii="Times New Roman"/>
          <w:b w:val="false"/>
          <w:i w:val="false"/>
          <w:color w:val="000000"/>
          <w:sz w:val="28"/>
        </w:rPr>
        <w:t>
 </w:t>
      </w:r>
    </w:p>
    <w:bookmarkEnd w:id="16"/>
    <w:bookmarkStart w:name="z49" w:id="17"/>
    <w:p>
      <w:pPr>
        <w:spacing w:after="0"/>
        <w:ind w:left="0"/>
        <w:jc w:val="both"/>
      </w:pPr>
      <w:r>
        <w:rPr>
          <w:rFonts w:ascii="Times New Roman"/>
          <w:b w:val="false"/>
          <w:i w:val="false"/>
          <w:color w:val="000000"/>
          <w:sz w:val="28"/>
        </w:rPr>
        <w:t xml:space="preserve">
                                Часть С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Другие процедуры закупки </w:t>
      </w:r>
      <w:r>
        <w:br/>
      </w:r>
      <w:r>
        <w:rPr>
          <w:rFonts w:ascii="Times New Roman"/>
          <w:b w:val="false"/>
          <w:i w:val="false"/>
          <w:color w:val="000000"/>
          <w:sz w:val="28"/>
        </w:rPr>
        <w:t xml:space="preserve">
      1. Конкурентные торги в пределах страны </w:t>
      </w:r>
      <w:r>
        <w:br/>
      </w:r>
      <w:r>
        <w:rPr>
          <w:rFonts w:ascii="Times New Roman"/>
          <w:b w:val="false"/>
          <w:i w:val="false"/>
          <w:color w:val="000000"/>
          <w:sz w:val="28"/>
        </w:rPr>
        <w:t xml:space="preserve">
      Работы, стоимость которых согласно оценкам в пересчете на доллары США составляет менее 1,000,000 на один контракт, при совокупной сумме, в пересчете на доллары США не превышающей 12,000,000, могут закупаться согласно контрактам, заключаемым в соответствии с положениями пунктов 3.3 и 3.4 Руководства. </w:t>
      </w:r>
      <w:r>
        <w:br/>
      </w:r>
      <w:r>
        <w:rPr>
          <w:rFonts w:ascii="Times New Roman"/>
          <w:b w:val="false"/>
          <w:i w:val="false"/>
          <w:color w:val="000000"/>
          <w:sz w:val="28"/>
        </w:rPr>
        <w:t xml:space="preserve">
      2. Закупки за пределами страны </w:t>
      </w:r>
      <w:r>
        <w:br/>
      </w:r>
      <w:r>
        <w:rPr>
          <w:rFonts w:ascii="Times New Roman"/>
          <w:b w:val="false"/>
          <w:i w:val="false"/>
          <w:color w:val="000000"/>
          <w:sz w:val="28"/>
        </w:rPr>
        <w:t xml:space="preserve">
      Товары, стоимость которых согласно оценкам в пересчете на доллары США составляет менее 100,000 на один контракт, при совокупной сумме, в пересчете на доллары США не превышающей 500,000, могут закупаться согласно контрактам, заключаемым на основе процедур закупок за пределами страны в соответствии с положениями пунктов 3.5 и 3.6 Руководства. </w:t>
      </w:r>
      <w:r>
        <w:br/>
      </w:r>
      <w:r>
        <w:rPr>
          <w:rFonts w:ascii="Times New Roman"/>
          <w:b w:val="false"/>
          <w:i w:val="false"/>
          <w:color w:val="000000"/>
          <w:sz w:val="28"/>
        </w:rPr>
        <w:t xml:space="preserve">
      3. Закупки в пределах страны </w:t>
      </w:r>
      <w:r>
        <w:br/>
      </w:r>
      <w:r>
        <w:rPr>
          <w:rFonts w:ascii="Times New Roman"/>
          <w:b w:val="false"/>
          <w:i w:val="false"/>
          <w:color w:val="000000"/>
          <w:sz w:val="28"/>
        </w:rPr>
        <w:t xml:space="preserve">
      Товары, стоимость которых согласно оценкам в пересчете на доллары США составляет менее 50 000 на один контракт, при совокупной сумме, в пересчете на доллары США не превышающей 500,000, могут закупаться согласно контрактам, заключаемым на основе процедур закупок в соответствии с положениями пунктов 3.5 и 3.6 Руководства. </w:t>
      </w:r>
      <w:r>
        <w:br/>
      </w:r>
      <w:r>
        <w:rPr>
          <w:rFonts w:ascii="Times New Roman"/>
          <w:b w:val="false"/>
          <w:i w:val="false"/>
          <w:color w:val="000000"/>
          <w:sz w:val="28"/>
        </w:rPr>
        <w:t xml:space="preserve">
      4. Закупки небольших по объему работ </w:t>
      </w:r>
      <w:r>
        <w:br/>
      </w:r>
      <w:r>
        <w:rPr>
          <w:rFonts w:ascii="Times New Roman"/>
          <w:b w:val="false"/>
          <w:i w:val="false"/>
          <w:color w:val="000000"/>
          <w:sz w:val="28"/>
        </w:rPr>
        <w:t xml:space="preserve">
      Работы, стоимость которых согласно оценкам в пересчете на доллары США составляет менее 50,000 на один контракт, при совокупной сумме, в пересчете на доллары США не превышающей 1,000,000 долларов США, могут закупаться согласно контрактам с фиксированной ценой, предоставляемой на основании предложений, полученных от трех (3) местных подрядчиков, в ответ на письменное приглашение. Приглашение должно включать подробное описание работ, включая основные технические характеристики, требующиеся сроки завершения, основную форму соглашения, приемлемую для Банка и при необходимости соответствующие чертежи. Контракт заключается с подрядчиком, который представил предложение с самой низкой ценой, и который имеет соответствующий опыт и средства для успешного выполнения контракта. </w:t>
      </w:r>
      <w:r>
        <w:br/>
      </w:r>
      <w:r>
        <w:rPr>
          <w:rFonts w:ascii="Times New Roman"/>
          <w:b w:val="false"/>
          <w:i w:val="false"/>
          <w:color w:val="000000"/>
          <w:sz w:val="28"/>
        </w:rPr>
        <w:t>
 </w:t>
      </w:r>
    </w:p>
    <w:bookmarkStart w:name="z50" w:id="18"/>
    <w:p>
      <w:pPr>
        <w:spacing w:after="0"/>
        <w:ind w:left="0"/>
        <w:jc w:val="both"/>
      </w:pPr>
      <w:r>
        <w:rPr>
          <w:rFonts w:ascii="Times New Roman"/>
          <w:b w:val="false"/>
          <w:i w:val="false"/>
          <w:color w:val="000000"/>
          <w:sz w:val="28"/>
        </w:rPr>
        <w:t xml:space="preserve">
                                Часть D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Рассмотрение банком решений по закупкам </w:t>
      </w:r>
      <w:r>
        <w:br/>
      </w:r>
      <w:r>
        <w:rPr>
          <w:rFonts w:ascii="Times New Roman"/>
          <w:b w:val="false"/>
          <w:i w:val="false"/>
          <w:color w:val="000000"/>
          <w:sz w:val="28"/>
        </w:rPr>
        <w:t>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опубликования любых приглашений о прохождении предварительной оценки для участия или представления предложений о заключении контрактов, предлагаемый план закупок по Проекту представляется в Банк, на его рассмотрение и одобрение, в соответствии с положениями пункта 1 приложения 1 к Руководству. Закупки всех товаров и работ проводятся в соответствии с таким планом закупок, который одобрен Банком и положениями вышеназванного пункта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(a) В отношении каждого контракта на выполнение работ согласно части С.1 настоящего раздела, стоимость которого согласно оценкам в пересчете на доллары США составляет 200,000 или более, применяются процедуры, излагаемые в пунктах 2 и 3 приложения 1 к Руководству. </w:t>
      </w:r>
      <w:r>
        <w:br/>
      </w:r>
      <w:r>
        <w:rPr>
          <w:rFonts w:ascii="Times New Roman"/>
          <w:b w:val="false"/>
          <w:i w:val="false"/>
          <w:color w:val="000000"/>
          <w:sz w:val="28"/>
        </w:rPr>
        <w:t xml:space="preserve">
      (b) В отношении первых контрактов на закупки товаров и работ, производимые в соответствии с процедурами, о которых говорится в части С, применяются следующие процедуры: </w:t>
      </w:r>
      <w:r>
        <w:br/>
      </w:r>
      <w:r>
        <w:rPr>
          <w:rFonts w:ascii="Times New Roman"/>
          <w:b w:val="false"/>
          <w:i w:val="false"/>
          <w:color w:val="000000"/>
          <w:sz w:val="28"/>
        </w:rPr>
        <w:t xml:space="preserve">
      (i) до отбора какого-либо поставщика и выполнения какого-либо контракта согласно процедурам закупок, Заемщик представляет Банку отчет о сравнении и оценке полученных предложений; </w:t>
      </w:r>
      <w:r>
        <w:br/>
      </w:r>
      <w:r>
        <w:rPr>
          <w:rFonts w:ascii="Times New Roman"/>
          <w:b w:val="false"/>
          <w:i w:val="false"/>
          <w:color w:val="000000"/>
          <w:sz w:val="28"/>
        </w:rPr>
        <w:t xml:space="preserve">
      (ii) до выполнения какого-либо контракта, заключенного согласно процедурам заключения прямых контрактов или закупок, Заемщик представляет Банку копию технических условий и проект контракта; и </w:t>
      </w:r>
      <w:r>
        <w:br/>
      </w:r>
      <w:r>
        <w:rPr>
          <w:rFonts w:ascii="Times New Roman"/>
          <w:b w:val="false"/>
          <w:i w:val="false"/>
          <w:color w:val="000000"/>
          <w:sz w:val="28"/>
        </w:rPr>
        <w:t xml:space="preserve">
      (iii) применяются процедуры, излагаемые в пунктах 2(f), 2(g) и 3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В отношении каждого контракта, который не регулируется пунктом 2 настоящей Части, применяются процедуры, излагаемые в пункте 4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Программа выполнения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w:t>
      </w:r>
      <w:r>
        <w:br/>
      </w:r>
      <w:r>
        <w:rPr>
          <w:rFonts w:ascii="Times New Roman"/>
          <w:b w:val="false"/>
          <w:i w:val="false"/>
          <w:color w:val="000000"/>
          <w:sz w:val="28"/>
        </w:rPr>
        <w:t xml:space="preserve">
      (a) придерживается стратегии и процедур, отвечающих существующим требованиям, чтобы позволить ему постоянно осуществлять контроль и оценку, в соответствии с показателями, согласованными между Заемщиком и Банком, выполнения Проекта и достижения его целей; </w:t>
      </w:r>
      <w:r>
        <w:br/>
      </w:r>
      <w:r>
        <w:rPr>
          <w:rFonts w:ascii="Times New Roman"/>
          <w:b w:val="false"/>
          <w:i w:val="false"/>
          <w:color w:val="000000"/>
          <w:sz w:val="28"/>
        </w:rPr>
        <w:t xml:space="preserve">
      (b) подготавливает в соответствии с пределами компетенции, приемлемый для Банка, и представляет Банку 31 января каждого года или приблизительно в такие сроки отчет, в котором объединяются данные по контролю и оценке, проводимых согласно пункту (а) настоящего раздела, о результатах, достигнутых в выполнении Проекта в течение периода, предшествующего дате вышеназванного отчета и в котором излагаются меры, рекомендуемые для обеспечения успешного выполнения Проекта и достижения его целей в течение периода, следующего за такой датой; </w:t>
      </w:r>
      <w:r>
        <w:br/>
      </w:r>
      <w:r>
        <w:rPr>
          <w:rFonts w:ascii="Times New Roman"/>
          <w:b w:val="false"/>
          <w:i w:val="false"/>
          <w:color w:val="000000"/>
          <w:sz w:val="28"/>
        </w:rPr>
        <w:t xml:space="preserve">
      (c) рассматривает с Банком до 31 марта каждого года или такой более поздней даты, о которой запрашивает Банк, отчет, о котором говорится в подпункте (b) настоящего пункта, и затем принимает все меры, необходимые для обеспечения эффективного завершения Проекта и достижения его, исходя из выводов и рекомендаций вышеназванного отчета и мнений Банка по вопросу; </w:t>
      </w:r>
      <w:r>
        <w:br/>
      </w:r>
      <w:r>
        <w:rPr>
          <w:rFonts w:ascii="Times New Roman"/>
          <w:b w:val="false"/>
          <w:i w:val="false"/>
          <w:color w:val="000000"/>
          <w:sz w:val="28"/>
        </w:rPr>
        <w:t xml:space="preserve">
      (d) подготавливает в соответствии с пределами компетенции, приемлемыми для Банка, и представляет Банку 31 января и 31 июля каждого года или приблизительно в такие сроки полугодовой отчет о выполнении Проекта; </w:t>
      </w:r>
      <w:r>
        <w:br/>
      </w:r>
      <w:r>
        <w:rPr>
          <w:rFonts w:ascii="Times New Roman"/>
          <w:b w:val="false"/>
          <w:i w:val="false"/>
          <w:color w:val="000000"/>
          <w:sz w:val="28"/>
        </w:rPr>
        <w:t xml:space="preserve">
      (e) (i) подготавливает совместно с Банком не позднее 31 июля 2004 г. среднесрочный обзорный отчет о ходе выполнения Проекта. Среднесрочный обзорный отчет включает результаты, достигнутые в выполнении целей Проекта; и </w:t>
      </w:r>
      <w:r>
        <w:br/>
      </w:r>
      <w:r>
        <w:rPr>
          <w:rFonts w:ascii="Times New Roman"/>
          <w:b w:val="false"/>
          <w:i w:val="false"/>
          <w:color w:val="000000"/>
          <w:sz w:val="28"/>
        </w:rPr>
        <w:t xml:space="preserve">
      (ii) выполняет не позднее чем в течение одного месяца после завершения среднесрочного обзора рекомендации, связанные со среднесрочным обзором, согласованные с Банком и излагаемые в плане действий по Проекту, приемлемый для Банка; и </w:t>
      </w:r>
      <w:r>
        <w:br/>
      </w:r>
      <w:r>
        <w:rPr>
          <w:rFonts w:ascii="Times New Roman"/>
          <w:b w:val="false"/>
          <w:i w:val="false"/>
          <w:color w:val="000000"/>
          <w:sz w:val="28"/>
        </w:rPr>
        <w:t xml:space="preserve">
      (f) подготавливает в соответствии с пределами компетенции, приемлемыми для Банка, и представляет отчеты о ходе выполнения Проекта, представляемые в соответствующей форме не позднее 31 января, 30 апреля, 31 июля и 31 октября каждого года за предыдущие три (3) месяца Межведомственному координационному комитету (МКК), Комитету по руководству Проектом (КРП) и Банку. К ежеквартальным отчетам относится: </w:t>
      </w:r>
      <w:r>
        <w:br/>
      </w:r>
      <w:r>
        <w:rPr>
          <w:rFonts w:ascii="Times New Roman"/>
          <w:b w:val="false"/>
          <w:i w:val="false"/>
          <w:color w:val="000000"/>
          <w:sz w:val="28"/>
        </w:rPr>
        <w:t xml:space="preserve">
      - ход выполнения и предполагаемая дата завершения контрактов на инженерно-строительные работы и поставки оборудования и товаров; </w:t>
      </w:r>
      <w:r>
        <w:br/>
      </w:r>
      <w:r>
        <w:rPr>
          <w:rFonts w:ascii="Times New Roman"/>
          <w:b w:val="false"/>
          <w:i w:val="false"/>
          <w:color w:val="000000"/>
          <w:sz w:val="28"/>
        </w:rPr>
        <w:t xml:space="preserve">
      - ход выполнения институциональных компонентов, мероприятий по обучению и изучению и работа ГУП; </w:t>
      </w:r>
      <w:r>
        <w:br/>
      </w:r>
      <w:r>
        <w:rPr>
          <w:rFonts w:ascii="Times New Roman"/>
          <w:b w:val="false"/>
          <w:i w:val="false"/>
          <w:color w:val="000000"/>
          <w:sz w:val="28"/>
        </w:rPr>
        <w:t xml:space="preserve">
      - контроль и оценка выполнения плана по охране окружающей среды, воздействие Проекта; </w:t>
      </w:r>
      <w:r>
        <w:br/>
      </w:r>
      <w:r>
        <w:rPr>
          <w:rFonts w:ascii="Times New Roman"/>
          <w:b w:val="false"/>
          <w:i w:val="false"/>
          <w:color w:val="000000"/>
          <w:sz w:val="28"/>
        </w:rPr>
        <w:t xml:space="preserve">
      - работа консультантов по закупкам и управлению финансовой деятельностью. </w:t>
      </w:r>
      <w:r>
        <w:br/>
      </w:r>
      <w:r>
        <w:rPr>
          <w:rFonts w:ascii="Times New Roman"/>
          <w:b w:val="false"/>
          <w:i w:val="false"/>
          <w:color w:val="000000"/>
          <w:sz w:val="28"/>
        </w:rPr>
        <w:t xml:space="preserve">
      2. Для целей раздела 9.07 Общих условий и без ограничения его положений Заемщик подготавливает на основе принципов, приемлемых для Банка и представляет Банку не позднее чем в течение шести (6) месяцев после заключительной даты использования средств займа или такого более позднего срока, который может быть согласован для этой цели между Заемщиком и Банком, план будущей деятельности в рамках Проекта и предоставляет Банку соответствующую возможность обмена мнениями с Заемщиком по вышеназванному плану. </w:t>
      </w:r>
      <w:r>
        <w:br/>
      </w:r>
      <w:r>
        <w:rPr>
          <w:rFonts w:ascii="Times New Roman"/>
          <w:b w:val="false"/>
          <w:i w:val="false"/>
          <w:color w:val="000000"/>
          <w:sz w:val="28"/>
        </w:rPr>
        <w:t xml:space="preserve">
      3. До завершения Проекта Заемщик обеспечивает функционирование Группы управления Проектом для управления Проектом, его выполнения и координации, связанной с Проектом деятельности, со специалистами, квалификация и пределы компетенции которых приемлемы для Банка. </w:t>
      </w:r>
      <w:r>
        <w:br/>
      </w:r>
      <w:r>
        <w:rPr>
          <w:rFonts w:ascii="Times New Roman"/>
          <w:b w:val="false"/>
          <w:i w:val="false"/>
          <w:color w:val="000000"/>
          <w:sz w:val="28"/>
        </w:rPr>
        <w:t xml:space="preserve">
      4. До завершения Проекта Заемщик обеспечивает функционирование Межведомственного координационного комитета (МКК), созданного им для целей координации деятельности в рамках Проекта. </w:t>
      </w:r>
      <w:r>
        <w:br/>
      </w:r>
      <w:r>
        <w:rPr>
          <w:rFonts w:ascii="Times New Roman"/>
          <w:b w:val="false"/>
          <w:i w:val="false"/>
          <w:color w:val="000000"/>
          <w:sz w:val="28"/>
        </w:rPr>
        <w:t xml:space="preserve">
      5. Заемщик не позднее 31 декабря 2001 г. учреждает Группу по руководству Проектом. Основными задачами ГРК являются: </w:t>
      </w:r>
      <w:r>
        <w:br/>
      </w:r>
      <w:r>
        <w:rPr>
          <w:rFonts w:ascii="Times New Roman"/>
          <w:b w:val="false"/>
          <w:i w:val="false"/>
          <w:color w:val="000000"/>
          <w:sz w:val="28"/>
        </w:rPr>
        <w:t xml:space="preserve">
      (i) информирование местного населения о деятельности в рамках проекта и ее ходе, включая работы по изучению в рамках Проекта, разработки, выполнение, не ограничиваясь ими, результаты текущего контроля и оценки, деятельность и программы, предлагаемые или проводимые донорами, финансирование такой деятельности и т.д.; и </w:t>
      </w:r>
      <w:r>
        <w:br/>
      </w:r>
      <w:r>
        <w:rPr>
          <w:rFonts w:ascii="Times New Roman"/>
          <w:b w:val="false"/>
          <w:i w:val="false"/>
          <w:color w:val="000000"/>
          <w:sz w:val="28"/>
        </w:rPr>
        <w:t xml:space="preserve">
      (ii) обеспечение достижений, предусматриваемых Проектом задач в областях охраны окружающей среды и социального развития. </w:t>
      </w:r>
      <w:r>
        <w:br/>
      </w:r>
      <w:r>
        <w:rPr>
          <w:rFonts w:ascii="Times New Roman"/>
          <w:b w:val="false"/>
          <w:i w:val="false"/>
          <w:color w:val="000000"/>
          <w:sz w:val="28"/>
        </w:rPr>
        <w:t xml:space="preserve">
      6. Заемщик не позднее 30 июня 2002 года создает Консультативную группу по бассейну Аральского моря (КГБАМ), состоящую из основных причастных к проекту лиц, пределы компетенции которых приемлемы для Банка. Основная задача КГБАМ заключается в обеспечении эффективного участия государства в распределении и в процессе управления водными ресурсами в Казахстанской части бассейна. </w:t>
      </w:r>
      <w:r>
        <w:br/>
      </w:r>
      <w:r>
        <w:rPr>
          <w:rFonts w:ascii="Times New Roman"/>
          <w:b w:val="false"/>
          <w:i w:val="false"/>
          <w:color w:val="000000"/>
          <w:sz w:val="28"/>
        </w:rPr>
        <w:t xml:space="preserve">
      7. В целях надзора за соблюдением мер безопасности на Чардаринской плотине создается функционирование Независимой группы экспертов (НГЭ), состав и пределы компетенции которых приемлемы для Банка, состоящий как из местных, так и зарубежных специалистов, основной задачей которого является анализ проектирования и контроль за выполнением предупредительных мер. </w:t>
      </w:r>
      <w:r>
        <w:br/>
      </w:r>
      <w:r>
        <w:rPr>
          <w:rFonts w:ascii="Times New Roman"/>
          <w:b w:val="false"/>
          <w:i w:val="false"/>
          <w:color w:val="000000"/>
          <w:sz w:val="28"/>
        </w:rPr>
        <w:t xml:space="preserve">
      8. Заемщик всеми необходимыми мерами обеспечивает выполнение Плана по охране окружающей среды в рамках Проекта, подготовленного в виде части изучения с целью оценки состояния окружающей среды. С этой целью Заемщик обеспечивает: </w:t>
      </w:r>
      <w:r>
        <w:br/>
      </w:r>
      <w:r>
        <w:rPr>
          <w:rFonts w:ascii="Times New Roman"/>
          <w:b w:val="false"/>
          <w:i w:val="false"/>
          <w:color w:val="000000"/>
          <w:sz w:val="28"/>
        </w:rPr>
        <w:t xml:space="preserve">
      (i) включение рекомендуемых смягчающих мер в планы проектных работ; </w:t>
      </w:r>
      <w:r>
        <w:br/>
      </w:r>
      <w:r>
        <w:rPr>
          <w:rFonts w:ascii="Times New Roman"/>
          <w:b w:val="false"/>
          <w:i w:val="false"/>
          <w:color w:val="000000"/>
          <w:sz w:val="28"/>
        </w:rPr>
        <w:t xml:space="preserve">
      (ii) выполнение таких мер во время строительных работ и последующей эксплуатации средств Проекта; </w:t>
      </w:r>
      <w:r>
        <w:br/>
      </w:r>
      <w:r>
        <w:rPr>
          <w:rFonts w:ascii="Times New Roman"/>
          <w:b w:val="false"/>
          <w:i w:val="false"/>
          <w:color w:val="000000"/>
          <w:sz w:val="28"/>
        </w:rPr>
        <w:t xml:space="preserve">
      (iii) укомплектование ГУП специалистами с надлежащей квалификацией для контроля над выполнением плана по охране окружающей среды, в состав которых входят не менее двух (2) экологов и одного (1) гидролога, квалификация и опыт которых будут приемлемыми для Банка; и </w:t>
      </w:r>
      <w:r>
        <w:br/>
      </w:r>
      <w:r>
        <w:rPr>
          <w:rFonts w:ascii="Times New Roman"/>
          <w:b w:val="false"/>
          <w:i w:val="false"/>
          <w:color w:val="000000"/>
          <w:sz w:val="28"/>
        </w:rPr>
        <w:t xml:space="preserve">
      (iv) наем и деятельность независимых консультантов, квалификация и опыт которых будут приемлемыми для Банка, на время выполнения проекта для обеспечения контроля над выполнением Плана по охране окружающей среды. </w:t>
      </w:r>
      <w:r>
        <w:br/>
      </w:r>
      <w:r>
        <w:rPr>
          <w:rFonts w:ascii="Times New Roman"/>
          <w:b w:val="false"/>
          <w:i w:val="false"/>
          <w:color w:val="000000"/>
          <w:sz w:val="28"/>
        </w:rPr>
        <w:t xml:space="preserve">
      9. Заемщик не позднее 31 декабря 2001 г. принимает на работу и впоследствии сохраняет должность консультантов, квалификация и опыт которых будут приемлемыми для Банка, которые будут ответственны за контроль над выполнением ПООС и контроль и оценку воздействия Проекта. </w:t>
      </w:r>
      <w:r>
        <w:br/>
      </w:r>
      <w:r>
        <w:rPr>
          <w:rFonts w:ascii="Times New Roman"/>
          <w:b w:val="false"/>
          <w:i w:val="false"/>
          <w:color w:val="000000"/>
          <w:sz w:val="28"/>
        </w:rPr>
        <w:t xml:space="preserve">
      10. Заемщик не позднее 31 декабря 2001 г. принимает на работу и впоследствии сохраняет должность консультантов, квалификация и опыт которых будут приемлемыми для Банка, которые будут нести ответственность за разработку и надзор за строительством. </w:t>
      </w:r>
      <w:r>
        <w:br/>
      </w:r>
      <w:r>
        <w:rPr>
          <w:rFonts w:ascii="Times New Roman"/>
          <w:b w:val="false"/>
          <w:i w:val="false"/>
          <w:color w:val="000000"/>
          <w:sz w:val="28"/>
        </w:rPr>
        <w:t>
 </w:t>
      </w:r>
    </w:p>
    <w:bookmarkEnd w:id="19"/>
    <w:bookmarkStart w:name="z56" w:id="20"/>
    <w:p>
      <w:pPr>
        <w:spacing w:after="0"/>
        <w:ind w:left="0"/>
        <w:jc w:val="both"/>
      </w:pPr>
      <w:r>
        <w:rPr>
          <w:rFonts w:ascii="Times New Roman"/>
          <w:b w:val="false"/>
          <w:i w:val="false"/>
          <w:color w:val="000000"/>
          <w:sz w:val="28"/>
        </w:rPr>
        <w:t>
(Специалисты: Склярова И.В.,</w:t>
      </w:r>
    </w:p>
    <w:bookmarkEnd w:id="20"/>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