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cd5d" w14:textId="b7d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предприятии "Научно-издательский центр "Гылым"»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N 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издательской базы в сфере науки и обеспечения издания научных трудов и научной литературы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предприятие "Научно-издательский центр "Гылым"»(далее - Предприятие) из ведения Министерства культуры, информации и общественного согласия Республики Казахстан в ведение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в устав Предприятия и обеспечить его государственную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20 января 2001 года N 88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Изменения и дополнения,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10 декабря 1998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приватизации объектов государственной собственности в Республике Казахстан" (САПП Республики Казахстан, 1998 г., N 48, ст. 426):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предприятий, отнесенных к республиканским государственным предприятиям, к указанному постановлению строку, порядковый номер 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республиканских государственных предприятий, подлежащих приватизации в 1998-1999 годах, утвержденном указанным постановлением, строку, порядковый номер 21,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