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2da8" w14:textId="ad12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Принципы, касающиеся статуса национальных учреждений, занимающихся поощрением и защитой прав человека [Парижские принципы]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резолюции 48/134 Генеральной Ассамблеи от 20 декабря 1993 года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Полномочия и функции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национальное учреждение возлагается задача поощрять и защищать права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Национальное учреждение наделяется как можно более широкими полномочиями, которые четко излагаются в конституционном или законодательном акте, определяющем его состав и круг его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Национальное учреждение осуществляет, в частности,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представляет правительству, парламенту и любому другому компетентному органу на консультативной основе, по просьбе заинтересованных органов или в порядке осуществления своего права рассматривать любой вопрос без обращения в более высокую инстанцию, мнения, рекомендации, предложения и доклады по вопросам, касающимся поощрения и защиты прав человека; национальное учреждение может принять решение о предании их гласности; эти заключения, рекомендации, предложения и доклады, а также любая прерогатива национального учреждения относятся к следующим областям: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любые законодательные и административные положения, а также положения, касающиеся судебных органов и направленные на обеспечение и усиление защиты прав человека; в этой связи национальное учреждение изучает действующее законодательство и административные положения, а также законопроекты и предложения и выносит рекомендации, которые оно сочтет целесообразными для обеспечения соответствия этих положений основополагающим принципам в области прав человека; в случае необходимости оно рекомендует принятие нового законодательства, поправки к действующему законодательству и принятия или изменения административных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любой случай нарушения прав человека, который оно решает рассмотреть;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iii) подготовка докладов о положении в стране с точки зрения прав человека в целом, а также о более конкретных вопросах;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iv) привлечение внимания правительства к случаям нарушения прав человека в любой части страны, представление ему предложений относительно мер, направленных на пресечение таких нарушений, и, в случае необходимости, изложение своего мнения относительно позиции и реакции правительства;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поощряет и обеспечивает согласование национального законодательства, правил и практики с международными документами по правам человека, участником которых является данное государство, и их эффективное осуществление;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содействует ратификации вышеупомянутых документов или присоединению к ним и обеспечивает их осуществление;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sz w:val="28"/>
        </w:rPr>
        <w:t xml:space="preserve">) участвует в подготовке докладов, которые государства должны представлять органам и комитетам Организации Объединенных Наций, а также региональным учреждениям во исполнение своих договорных обязательств и, в случае необходимости, выражать свое мнение по этому вопросу, должным образом соблюдая их независимость;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sz w:val="28"/>
        </w:rPr>
        <w:t>) сотрудничать с Организацией Объединенных Наций и любыми другими организациями системы Организации Объединенных Наций, региональными учреждениями и национальными учреждениями других стран, компетентными в вопросах поощрения и защиты прав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) содействовать разработке учебных и исследовательских программ по правам человека и принимать участие в их осуществлении в школах, университетах и в профессиональных 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g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предавать гласности положение в области прав человека и усилия по борьбе против всех форм дискриминации, особенно расовой дискриминации, посредством повышения осведомленности общественности, в частности путем информирования и просветительской деятельности, а также посредством использования всех печатных органов.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и гарантии независимости и плюрализма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Состав национального учреждения и порядок назначения его членов, путем выборов или иным способом, устанавливаются в соответствии с процедурой, предусматривающей все необходимые гарантии обеспечения плюралистического представительства общественных сил (гражданского общества), участвующих в деятельности по поощрению и защите прав человека, в частности путем использования полномочий, позволяющих установить эффективное сотрудничество с представителями, или посредством участия представителей: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) неправительственных организаций, занимающихся вопросами прав человека и борьбы против расовой дискриминации, профсоюзов, соответствующих общественных и профессиональных организаций, например ассоциации юристов, врачей, журналистов и видных ученых;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различных философских и религиозных течений;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 xml:space="preserve">) университетов и квалифицированных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sz w:val="28"/>
        </w:rPr>
        <w:t xml:space="preserve">)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правительственных ведомств (в этом случае их представители участвуют в рассмотрении вопросов лишь в качестве консультантов).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Национальное учреждение должно располагать инфраструктурой, обеспечивающей бесперебойное осуществление его деятельности, в частности достаточным финансированием. Цель такого финансирования должна заключаться в том, чтобы предоставить национальному учреждению возможность иметь свой персонал и свои помещения, с тем чтобы оно могло быть независимым от правительства и не подлежать финансовому контролю, который может влиять на его независимость.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стабильности мандата членов учреждения, без чего не может быть подлинной независимости, их назначение оформляется официальным актом, в котором указывается конкретный срок действия мандата. Мандат может возобновляться при условии обеспечения плюралистического характера состава национального учреждения.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своей деятельности национальное учреждение: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) свободно рассматривает любые вопросы, относящиеся к сфере его ведения, независимо от того, были ли они представлены правительством или приняты к рассмотрению без обращения к более высокой инстанции, по предложению его членов или любого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 xml:space="preserve">) заслушивает любое лицо и получает любую информацию и любые документы, необходимые для оценки ситуаций, относящихся к сфере его ведения;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обращается к общественности непосредственно или через любой печатный орган, особенно для предания гласности своих мнений и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sz w:val="28"/>
        </w:rPr>
        <w:t>) проводит заседания на регулярной основе и, в случае необходимости, с участием всех своих членов после их надлежащего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 мере необходимости образует из своих членов рабочие группы и создает местные или региональные отделения для содействия в осуществлении его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f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проводит консультации с другими судебными и несудебными органами, занимающимися поощрением и защитой прав человека (в частности, омбудсменами, арбитрами или другими аналогичными органами);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g</w:t>
      </w:r>
      <w:r>
        <w:rPr>
          <w:rFonts w:ascii="Times New Roman"/>
          <w:b w:val="false"/>
          <w:i w:val="false"/>
          <w:color w:val="000000"/>
          <w:sz w:val="28"/>
        </w:rPr>
        <w:t xml:space="preserve">) учитывая ту основополагающую роль, которую играют неправительственные организации в расширении деятельности национальных учреждений, развивает связи с неправительственными организациями, занимающимися поощрением и защитой прав человека, социальным и экономическим развитием, борьбой против расизма, защитой особо уязвимых групп (в частности детей, трудящихся-мигрантов, беженцев, лиц с физическими и умственными недостатками) или другими специальными вопросами.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принципы, касающиеся статуса комиссий, обладающих квазисудебными полномочиями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Национальное учреждение может быть уполномочено заслушивать и рассматривать жалобы и заявления, касающиеся положения отдельных лиц. Материалы могут передаваться ему отдельными лицами, их представителями, третьими сторонами, неправительственными организациями, ассоциациями профсоюзов или любыми другими представительными организациями. В этом случае без ущерба для вышеизложенных принципов, касающихся других полномочий комиссий, возложенные на них функции могут основываться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) достижение полюбовного урегулирования путем примирения или, в установленных законом пределах, путем вынесения обязательных решений, или, в случае необходимости, на основе конфиденциальности;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>) уведомление стороны, представившей заявление, о ее правах, в частности об имеющихся в ее распоряжении средствах правовой защиты, и содействие получению доступа к ним;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 xml:space="preserve">) заслушивание любых жалоб или заявлений или направление их любому другому компетентному органу в пределах, установленных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представление рекомендаций компетентным органам, в частности, путем предложения поправок или изменений к законам, правилам и административной практике, особенно если они являются причиной трудностей, с которыми столкнулись лица, представившие заявления, в целях отстаивания их прав.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