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b12d" w14:textId="97c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о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30 сентября 2016 года</w:t>
      </w:r>
    </w:p>
    <w:p>
      <w:pPr>
        <w:spacing w:after="0"/>
        <w:ind w:left="0"/>
        <w:jc w:val="left"/>
      </w:pPr>
      <w:bookmarkStart w:name="z115" w:id="0"/>
      <w:r>
        <w:rPr>
          <w:rFonts w:ascii="Times New Roman"/>
          <w:b/>
          <w:i w:val="false"/>
          <w:color w:val="000000"/>
        </w:rPr>
        <w:t xml:space="preserve"> СОГЛАШЕНИЕ*</w:t>
      </w:r>
      <w:r>
        <w:br/>
      </w:r>
      <w:r>
        <w:rPr>
          <w:rFonts w:ascii="Times New Roman"/>
          <w:b/>
          <w:i w:val="false"/>
          <w:color w:val="000000"/>
        </w:rPr>
        <w:t>о Методологии формирования индикативных (прогнозных) балансов</w:t>
      </w:r>
      <w:r>
        <w:br/>
      </w:r>
      <w:r>
        <w:rPr>
          <w:rFonts w:ascii="Times New Roman"/>
          <w:b/>
          <w:i w:val="false"/>
          <w:color w:val="000000"/>
        </w:rPr>
        <w:t>газа, нефти и нефтепродуктов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(Вступило в силу 30 сентября 2016 года - Бюллетень международных договоров РК 2016 г., № 6, ст. 102)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 и природных ресурсов Республики Армения, Министерство экономики Республики Беларусь, Министерство энергетики Республики Казахстан, Министерство энергетики и промышленности Кыргызской Республики и Министерство энергетики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эффективного использования совокупного энергетического потенциала государств – членов Евразийского экономического союза (далее – государства-члены), оптимизации межгосударственных поставок энергетических ресурсов и обеспечения разработки индикативных (прогнозных) балансов газа, нефти и нефтепродуктов Евразийского экономического союза (далее –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"индикативный (прогнозный) баланс государства-члена" – баланс, разрабатываемый уполномоченным органом в отношении соответственно газа, нефти и нефтепродуктов на территории государства-члена для целей формирования индикативного (прогнозного) баланса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"индикативный (прогнозный) баланс Союза" –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"уполномоченный орган" – орган исполнительной власти государства-члена, уполномоченный в соответствии с законодательством государства-члена осуществлять разработку индикативных (прогнозных) балансов газа, нефти и нефтепродуктов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уполномоченные органы разрабатывают и согласовывают индикативный (прогнозный) баланс газа Союза, индикативный (прогнозный) баланс нефти Союза и индикативные (прогнозные) балансы нефтепродуктов Союза в соответствии с Методологией формирования индикативных (прогнозных) балансов газа, нефти и нефтепродуктов в рамках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являющейся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Уполномоченные органы ежегодно разрабатывают индикативный (прогнозный) баланс газа, индикативный (прогнозный) баланс нефти и индикативные (прогнозные) балансы нефтепродуктов (бензина автомобильного, топлива дизельного, мазута топочного, топлива для реактивных двигателей) своего государства, согласовывают в случае необходимости друг с другом отдельные параметры этих индикативных балансов и направляют их в Евразийскую экономическую комиссию (далее – Комиссия) до 5 сентября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ежегодно на основе представленных уполномоченными органами согласованных индикативных (прогнозных) балансов государств-членов осуществляет подготовку индикативного (прогнозного) баланса газа Союза, индикативного (прогнозного) баланса нефти Союза и индикативных (прогнозных) балансов нефтепродуктов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Индикативные (прогнозные) балансы Союза образуют единую систему показателей, используемую в рамках Союза и в государствах-членах, характеризующих добычу, производство, потребление, импорт, экспорт и поставки, в том числе взаимные, для удовлетворения внутренних потребностей государств-членов, газа, нефти и нефтепродуктов на территориях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Индикативные (прогнозные) балансы Союза ежегодно формируются на 5-летний период и включают отчетные показатели за предшествующий год, ожидаемые показатели на текущий год и прогнозные показатели на три последующих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уполномоченными органами индикативных (прогнозных) балансов государств-членов осуществляется на основе приоритетного обеспечения внутренних потребностей государств-членов в соответствии с законодательством государств-членов и с учетом международных обязательств государств-членов, общеэкономических и отраслевых прогнозов и программ развития государств-членов, прогнозов и инвестиционных программ организаций топливно-энергетического комплекса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Уполномоченные органы государств-членов обеспечивают полноту и достоверность индикативных (прогнозных) балансов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проведения корректировки индикативных (прогнозных) балансов газа, нефти и нефтепродуктов Союза уполномоченные органы направляют в Комиссию скорректированные индикативные (прогнозные) балансы газа, нефти и нефтепродуктов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Уточнение индикативных (прогнозных) балансов Союза может осуществляться 1 раз в год, до 1 октября текущего года, с учетом фактического изменения добычи газа, нефти, производства и потребления газа и нефтепродуктов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до 15 октября текущего года формирует скорректированные (уточненные) индикативные (прогнозные) балансы газа, нефти и нефтепродуктов Союза, публикует их на официальном сайте Союза в информационно-телекоммуникационной сети "Интернет". Соответствующая информация докладывается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Соглашение является международным договором, заключенным в рамках Союза, и входит в право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согласованию Сторон в настоящее Соглашение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Соглашение не затрагивает прав и обязательств государств-членов,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Соглашение вступает в силу по истечении 30 календарных дней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Москве 22 апреля 2016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За Министерство 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 природных 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За Министерство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За Министерство 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За Министерство э</w:t>
      </w:r>
      <w:r>
        <w:rPr>
          <w:rFonts w:ascii="Times New Roman"/>
          <w:b w:val="false"/>
          <w:i/>
          <w:color w:val="000000"/>
          <w:sz w:val="28"/>
        </w:rPr>
        <w:t>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За Министерство 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индикативных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(прогнозных) балансов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</w:t>
      </w:r>
      <w:r>
        <w:br/>
      </w:r>
      <w:r>
        <w:rPr>
          <w:rFonts w:ascii="Times New Roman"/>
          <w:b/>
          <w:i w:val="false"/>
          <w:color w:val="000000"/>
        </w:rPr>
        <w:t>формирования индикативных (прогнозных) балансов газа, нефти и нефтепродуктов в рамках Евразийского экономического союза I.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Методология разработана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определяет основные подходы к формированию индикативных (прогнозных) балансов газа, нефти и нефтепродуктов Евразийского экономического союза (далее –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Индикативные (прогнозные) балансы газа, нефти и нефтепродуктов Союза образуют единую систему показателей, используемую в рамках Союза и в государствах – членах Союза 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Индикативные (прогнозные) балансы газа, нефти и нефтепродуктов Союза формируются на 5-летний период и включают в себя отчетные показатели за предшествующий год, ожидаемые показатели за текущий год и прогнозные показатели на 3 последующих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Понятия, используемые в настоящей Методологии,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"индикативный (прогнозный) баланс государства-члена" – баланс, разрабатываемый уполномоченным органом в отношении соответственно газа, нефти и нефтепродуктов на территории государства-члена для целей формирования индикативного (прогнозного) баланса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"индикативный (прогнозный) баланс Союза" –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"баланс" – система показателей, характеризующих производство, потребление, прочие поступления и потери, импорт и экспорт газа, нефти и нефтепродуктов на территориях государств-членов или таможенной территории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"бензин автомобильный" – бензины автомобильные всех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"газ" – природный газ и попутный нефтяной газ, а также газ, полученный в результате стабилизации и деэтанизации конденсата газового;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"импорт":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индикативных (прогнозных) балансах газа, нефти и нефтепродуктов государства-члена – величина, характеризующая количество газа, нефти, нефтепродуктов, ввозимых на территорию государства-члена, в результате чего увеличивается количество газа, нефти и нефтепродуктов на территории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индикативных (прогнозных) балансах газа, нефти и нефтепродуктов Союза – величина, характеризующая количество газа, нефти, нефтепродуктов, ввозимых на территории государств-членов, в результате чего увеличивается количество газа, нефти и нефтепродуктов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"мазут топочный" – топочные мазуты всех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"нефтяное сырье" – нефть сырая и конденсат газовый;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"потери" – потери нефтяного сырья, образующиеся при транспортировке трубопроводным транспортом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"рекуперированное сырье (вторичное нефтяное сырье)" – жидкие углеводороды, извлеченные из попутного нефтяного газа*, нефтесодержащих балластных вод танкеров, шламовых амбаров, загрязненных грунтов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"топливо дизельное" – дизельное топливо всех марок (летнее, зимнее, арктическое и прочее);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"топливо для реактивных двигателей" – топливо для использования в реактивных авиационных двигателях;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"экспорт":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индикативных (прогнозных) балансах газа, нефти и нефтепродуктов государства-члена – величина, характеризующая количество газа, нефти, нефтепродуктов, вывозимых с территории государства-члена, в результате чего уменьшается количество газа, нефти и нефтепродуктов на территории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индикативных (прогнозных) балансах газа, нефти и нефтепродуктов Союза – величина, характеризующая количество газа, нефти и нефтепродуктов, вывозимых с территорий государств-членов, в результате чего уменьшается количество газа, нефти и нефтепродуктов на таможенной территории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Структура индикативных (прогнозных) балансов газа, нефти и нефтепродуктов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Индикативные (прогнозные) балансы газа, нефти и нефтепродуктов состоят из 2 балансирующихся блоков: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блок "Приходная часть – ресурсы" – характеризует структуру производства (добычи) и поставок газа, нефти, нефтепродуктов в государстве-члене и содержит следующие статьи (показатели):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"Производство (добыча)";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"Прочие поступления";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"Импорт из государств-членов";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"Импорт из третьих государств";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второй блок "Расходная часть – распределение" – характеризует структуру распределения газа, нефти, нефтепродуктов в государстве-члене и содержит следующие статьи (показатели):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"Экспорт в государства-члены";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"Экспорт в третьи государства";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"Поставка на внутренний рынок";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"Потери".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Особенности формирования отдельных статей (показателей) индикативных (прогнозных) балансов газа, нефти и нефтепродуктов определены в </w:t>
      </w:r>
      <w:r>
        <w:rPr>
          <w:rFonts w:ascii="Times New Roman"/>
          <w:b w:val="false"/>
          <w:i w:val="false"/>
          <w:color w:val="000000"/>
          <w:sz w:val="28"/>
        </w:rPr>
        <w:t>разделе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Значения показателей индикативных (прогнозных) балансов газа, нефти и нефтепродуктов приводятся в натуральных единицах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газа – в миллиардах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нефтяного сырья – в миллионах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бензина автомобильного, топлива дизельного, мазута топочного и топлива для реактивных двигателей – в тысячах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формировании индикативных (прогнозных) балансов газа, нефти и нефтепродуктов государств-членов уполномоченные органы государств-членов проводят согласование друг с другом показателей импорта из государств-членов и экспорта в государства-члены для удовлетворения внутренних потребностей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индикативных (прогнозных) балансах газа, нефти и нефтепродуктов государств-членов и индикативных (прогнозных) балансах газа, нефти и нефтепродуктов Союза показатели, характеризующие импорт из третьих государств и экспорт в третьи государства, приводятся справочно и не требуют согласования Евразийской экономической комиссией и государствами-членами.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Особенности формирования отдельных статей (показателей) индикативных (прогнозных) балансов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Индикативный (прогнозный) баланс газа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Индикативный (прогнозный) баланс газа государства-члена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Индикативный (прогнозный) баланс газа Союза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статье "Добыча газа, включая нефтяной попутный" указывается суммарный объем добычи из недр природного и попутного нефтяного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 попутного нефтяного газа, сожженного в факелах, в статью "Добыча газа, включая нефтяной попутный"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Объем газа, закачанного обратно в пласт, в статью "Добыча газа, включая нефтяной попутный"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статье "Прочие поступления" учитываются газ стабилизации и деэтанизации конденсата газового, а также изменение запасов газа в подземных хранилищах газа и в газопроводных сетях.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статье "Импорт" выделяются субстатьи для отображения объемов импорта (поставок) газа трубопроводным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статье "Экспорт" выделяются субстатьи для отображения объемов экспорта (поставок) газа трубопроводным транспортом и в виде сжиженного природного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Индикативный (прогнозный) баланс нефтяного сырья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Индикативный (прогнозный) баланс нефтяного сырья государства-члена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Индикативный (прогнозный) баланс нефтяного сырья Союза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статье "Добыча нефти, включая газовый конденсат" указывается объем добычи нефтяного сырья из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статье "Прочие поступления" учитывается объем производства рекуперированного нефтяного сырья, а также изменение остатков нефтяного сырья в системе магистрального нефтепроводного транспорта, в резервуарах нефтеперерабатывающих заводов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статье "Импорт" выделяются субстатьи для отображения объемов импорта (поставок) нефтяного сырья трубопроводным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статье "Экспорт" выделяются субстатьи для отображения объемов экспорта (поставок) нефтяного сырья трубопроводным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Потери при добыче и стабилизации нефтяного сырья в статьи индикативного (прогнозного) баланса нефтяного сырья не включаются, кроме потерь нефтяного сырья, образующихся при транспортировке трубопроводным транспортом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Индикативный (прогнозный) баланс бензина автомобильного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Индикативный (прогнозный) баланс бензина автомобильного государства-члена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Индикативный (прогнозный) баланс бензина автомобильного Союза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статье "Производство" указывается объем производства бензина автомобильного на нефтеперерабатывающих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В статье "Прочие поступления" учитываются изменения запасов бензина автомобильного в системе магистрального нефтепродуктопроводного транспорта, в резервуарах нефтеперерабатывающих заводов и предприятий нефтепродуктообеспечения.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 статье "Импорт" субстатьи для отображения объемов импорта (поставок) бензина автомобильного трубопроводным транспортом не выделяются.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 статье "Экспорт" субстатьи для отображения объемов экспорта (поставок) бензина автомобильного трубопроводным транспортом не выделяются.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Индикативный (прогнозный) баланс топлива дизельного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Индикативный (прогнозный) баланс топлива дизельного государства-члена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Индикативный (прогнозный) баланс топлива дизельного Союза формируется по форме согласно приложению № 8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 статье "Производство" указывается объем производства топлива дизельного на нефтеперерабатывающих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В статье "Прочие поступления" учитываются изменения запасов топлива дизельного в системе магистрального нефтепродуктопроводного транспорта, в резервуарах нефтеперерабатывающих заводов и предприятий нефтепродуктообеспечения.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 статье "Импорт" субстатьи для отображения объемов импорта (поставок) топлива дизельного трубопроводным транспортом не выделяются.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В статье "Экспорт" субстатьи для отображения объемов экспорта (поставок) топлива дизельного трубопроводным транспортом не выделяются.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Индикативный (прогнозный) баланс мазута топочного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Индикативный (прогнозный) баланс мазута топочного государства-члена разрабатывается по форме согласно приложению № 9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Индикативный (прогнозный) баланс мазута топочного Союза формируется по форме согласно приложению № 10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В статье "Производство" указывается объем товарного производства мазута топочного на нефтеперерабатывающих заводах. Расход на технологические нужды нефтеперерабатывающих заводов в балансах мазута топочного не включается.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В статье "Прочие поступления" учитываются изменения запасов мазута топочного в резервуарах нефтеперерабатывающих заводов и предприятий нефтепродуктообеспечения.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Индикативный (прогнозный) баланс топлива для реактивных двигателей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37. Индикативный (прогнозный) баланс топлива для реактивных двигателей государства-члена разрабатывается по форме согласно приложению № 11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Индикативный (прогнозный) баланс топлива для реактивных двигателей Союза формируется по форме согласно приложению № 12 к настоящей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В статье "Производство" указывается объем производства топлива для реактивных двигателей на нефтеперерабатывающих заводах.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В статье "Прочие поступления" учитываются изменения запасов топлива для реактивных двигателей в системе магистрального нефтепродуктопроводного транспорта, в резервуарах нефтеперерабатывающих заводов и предприятий нефтепродуктообеспечения.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В статье "Импорт" субстатьи для отображения объемов импорта (поставок) топлива для реактивных двигателей трубопроводным транспортом не выделяются.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В статье "Экспорт" субстатьи для отображения объемов экспорта (поставок) топлива для реактивных двигателей трубопроводным транспортом не выделяются.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* Относится к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</w:tbl>
    <w:bookmarkStart w:name="z8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газа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 20___ – 20 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(млрд. куб.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593"/>
        <w:gridCol w:w="2593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 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 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91"/>
        <w:gridCol w:w="2309"/>
      </w:tblGrid>
      <w:tr>
        <w:trPr>
          <w:trHeight w:val="30" w:hRule="atLeast"/>
        </w:trPr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газа, включая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попутный*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государств-членов**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третьих государств*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государства-члены**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третьи государства*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* Указывается справочно и не требует согласования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** Не указывается государство-член, которое представляет настоящий баланс.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газа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на 20___ – 20___ годы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(млрд. куб.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771"/>
        <w:gridCol w:w="2415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20__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8"/>
        <w:gridCol w:w="2402"/>
      </w:tblGrid>
      <w:tr>
        <w:trPr>
          <w:trHeight w:val="30" w:hRule="atLeast"/>
        </w:trPr>
        <w:tc>
          <w:tcPr>
            <w:tcW w:w="9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газа, включая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 в виде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сжиженного 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трубопроводным транспортом в виде сжиженного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Заполняется Комиссией на основе статистических данных, представленных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 Указывается справочно и не требует согласования уполномоченными органами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</w:tbl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нефтяного сырья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 20___ – 20___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(млн.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593"/>
        <w:gridCol w:w="2593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 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 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3"/>
        <w:gridCol w:w="2137"/>
      </w:tblGrid>
      <w:tr>
        <w:trPr>
          <w:trHeight w:val="30" w:hRule="atLeast"/>
        </w:trPr>
        <w:tc>
          <w:tcPr>
            <w:tcW w:w="10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включая газовый конденсат*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 трубопроводным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Указывается справочно и не требует согласования уполномоченными органами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 Не указывается государство-член, которое представляет настоящий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</w:tbl>
    <w:bookmarkStart w:name="z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нефтяного сырья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на 20___ – 20___ годы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(млн.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866"/>
        <w:gridCol w:w="2520"/>
        <w:gridCol w:w="2001"/>
        <w:gridCol w:w="2002"/>
        <w:gridCol w:w="2002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 __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 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0"/>
        <w:gridCol w:w="2140"/>
      </w:tblGrid>
      <w:tr>
        <w:trPr>
          <w:trHeight w:val="30" w:hRule="atLeast"/>
        </w:trPr>
        <w:tc>
          <w:tcPr>
            <w:tcW w:w="10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включая 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Кыргызскую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трубопроводным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в третьи государства**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Заполняется Комиссией на основе статистических данных, представленных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Указывается справочно и не требует согласования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</w:tbl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бензина автомобильного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 20___ – 20___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593"/>
        <w:gridCol w:w="2593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 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 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33"/>
        <w:gridCol w:w="2067"/>
      </w:tblGrid>
      <w:tr>
        <w:trPr>
          <w:trHeight w:val="30" w:hRule="atLeast"/>
        </w:trPr>
        <w:tc>
          <w:tcPr>
            <w:tcW w:w="10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 государства-члены**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Указывается справочно и не требует согласования уполномоченными органами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 Не указывается государство-член, которое представляет настоящий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газа, 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</w:tbl>
    <w:bookmarkStart w:name="z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бензина автомобильного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на 20___ – 20___ годы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866"/>
        <w:gridCol w:w="2520"/>
        <w:gridCol w:w="2001"/>
        <w:gridCol w:w="2002"/>
        <w:gridCol w:w="2002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 __ год*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 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8"/>
        <w:gridCol w:w="2402"/>
      </w:tblGrid>
      <w:tr>
        <w:trPr>
          <w:trHeight w:val="30" w:hRule="atLeast"/>
        </w:trPr>
        <w:tc>
          <w:tcPr>
            <w:tcW w:w="9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государства-члены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Российской 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Заполняется Комиссией на основе статистических данных, представленных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** Указывается справочно и не требует согласования уполномоченными органами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(прогнозных)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газа,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Индикативный (прогнозный) баланс топлива дизельного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на 20___ – 20___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(тыс. тонн)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593"/>
        <w:gridCol w:w="2593"/>
        <w:gridCol w:w="2059"/>
        <w:gridCol w:w="2060"/>
        <w:gridCol w:w="2060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(субстатьи)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показатель за 20 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показатель в 20 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91"/>
        <w:gridCol w:w="2309"/>
      </w:tblGrid>
      <w:tr>
        <w:trPr>
          <w:trHeight w:val="30" w:hRule="atLeast"/>
        </w:trPr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Приходная часть –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государств-членов**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 государств*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Расходная часть –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государства*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на внутренний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Указывается справочно и не требует согласования уполномоченными органами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* Не указывается государство-член, которое представляет настоящий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