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f83" w14:textId="0772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ПРОТОКОЛ* между Министерством по инвестициям и развитию Республики Казахстан и Министерством транспорта Китайской Народной Республики о создании системы разрешений на международные автомобильные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12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12 октября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по инвестициям и развитию Республики Казахстан, в дальнейшем именуемое "Казахстанская Сторона" и Министерство транспорта Китайской Народной Республики, в дальнейшем именуемое "Китайская Сторона",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интенсивного развития двусторонних торгово-экономических связей между обоими государствами,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развивая сотрудничество в области автомобильных перевозок на равноправной и взаимовыгодной основе,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международном автомобильном сообщении от 26 сентября 1992 года (далее - Соглашение) в отношении создания системы разрешений на международные автомобильные перевозки,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Бланк разрешения на поездку автотранспортного средства между Республикой Казахстан и Китайской Народной Республикой, ниже именуемый "разрешение", согласовывается Министерством по инвестициям и развитию Республики Казахстан и Министерством транспорта Китайской Народной Республики. Разрешения являются официальными документами для осуществления автомобильных перевозок по соответствующим маршрутам автомобильных дорог 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изготавливают разрешения по согласованной форме. Бланки разрешений исполняются на казахском, китайском и русском языках: тексты разрешений Казахстанской Стороной исполняются последовательно на казахском, китайском и русском языках; Китайской Стороной - на китайском,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должны иметь серию и порядковый номер, составленные на год, а также соответствующие подпись и печать компетентного органа. Разрешения выдает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Казахстанской Стороны компетентным органом является Министерство по инвестициям и развитию Республики Казахстан, исполнительным органом - Комитет транспорта Министерства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Китайской Стороны компетентным органом является Департамент транспорта СУАР КНР, уполномоченный Министерством транспорта Китайской Народной Республики, исполнительным органом - Управление автомобильного транспорта СУАР КНР.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названия или функций вышеназванных компетентных или исполнительных органов Стороны будут своевременно уведомлены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Автотранспортное средство (с прицепом, полуприцепом или без них), пересекающее границу, должно иметь одно разрешение.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устанавливаются четырех видов "А", "В", "С" и "D".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вида "А" (оранжевого цвета) применяются при выполнении регулярных автомобильных перевозок пассажиров (включая туристов) и багажа. Срок его действия - один год, многоразовый.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Исполнительные органы Сторон согласовывают расписание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схему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 движения автобуса по регулярному международному маршруту.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вида "В" (голубого цвета) применяются при выполнении нерегулярных автомобильных перевозок пассажиров (включая туристов) и багажа между приграничными терминалами в районе пунктов пропуска с правом совершения одного рейса туда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вида "С" (желтого цвета) применяются при перевозке грузов автомобильным транспортом между приграничными терминалами в районе пунктов пропуска, с правом выполнения одного рейса туда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вида "D" (зеленого цвета) применяются при выполнении автомобильных перевозок грузов по определенным маршрутам, с правом выполнения одного рейса туда и обратно.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разрешения, предусмотренные Соглашением для перевозок транзитом, в(из) третьих стран, крупногабаритных и тяжеловесных, а также опасных грузов дополнительно согласовываются двумя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 указанных разрешений въезд автотранспортных средств на территорию другой страны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действительны при наличии штампа компетентного органа, а также штампа и подписи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обмениваются разрешениями "А", "В", "С" и "D" два раза в год. Время и место обмена согласовываются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передаваемых бланков разрешений взаимно согласовывается компетентными органами на паритетной и взаимовыгодной основе.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на пограничных пунктах осуществляют контроль за наличием разрешений на выезжающих и въезжающих автотранспортных средствах.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тщательно составляют записи по каждому нарушению настоящего Протокола. Если вопрос относится к автотранспортному средству своей Стороны, то сведения своевременно доводятся до предприятия, выполняющего эту перевозку для принятия мер. Если вопрос относится к автотранспортному средству другой Стороны, то она информирует об этом во время следующего обмена бланками разрешений для принятия решения, удовлетворяющего обе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обмена бланками разрешений Стороны должны одновременно информировать друг друга о состоянии перевозок за предыдущее полугодие, использовании бланков разрешений и иным вопросам.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перевозки неделимых крупногабаритных и (или) тяжеловесных, а также опасных грузов, перевозчик одной Стороны должен получить специальное разрешение в соответствии с законодательством другой Стороны, только после которого перевозчик может осуществлять перевозку вышеперечисленных грузов по территории другой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со дня его подписания и будет действовать в период действия Соглашения, если одна из Сторон не уведомит в письменной форме другую Сторону не позднее, чем за 6 месяцев о своем желании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Ухань 12 октября 2016 года в двух экземплярах на казахском, русском и китайском языках.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9"/>
        <w:gridCol w:w="5901"/>
      </w:tblGrid>
      <w:tr>
        <w:trPr>
          <w:trHeight w:val="30" w:hRule="atLeast"/>
        </w:trPr>
        <w:tc>
          <w:tcPr>
            <w:tcW w:w="6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6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Стороны,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и печать)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(день)       (месяц)       (год)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</w:t>
      </w:r>
      <w:r>
        <w:br/>
      </w:r>
      <w:r>
        <w:rPr>
          <w:rFonts w:ascii="Times New Roman"/>
          <w:b/>
          <w:i w:val="false"/>
          <w:color w:val="000000"/>
        </w:rPr>
        <w:t>движения автобуса по регулярному международному маршруту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маршрута)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"/>
        <w:gridCol w:w="5842"/>
        <w:gridCol w:w="5842"/>
      </w:tblGrid>
      <w:tr>
        <w:trPr>
          <w:trHeight w:val="30" w:hRule="atLeast"/>
        </w:trPr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Маршрут обслуживается
</w:t>
            </w:r>
          </w:p>
        </w:tc>
        <w:tc>
          <w:tcPr>
            <w:tcW w:w="5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Республики Казахстан</w:t>
            </w:r>
          </w:p>
        </w:tc>
        <w:tc>
          <w:tcPr>
            <w:tcW w:w="5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перевозчика)</w:t>
            </w:r>
          </w:p>
        </w:tc>
      </w:tr>
      <w:tr>
        <w:trPr>
          <w:trHeight w:val="30" w:hRule="atLeast"/>
        </w:trPr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Китайской Народной Республики</w:t>
            </w:r>
          </w:p>
        </w:tc>
        <w:tc>
          <w:tcPr>
            <w:tcW w:w="5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перевозчика)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543"/>
        <w:gridCol w:w="1868"/>
        <w:gridCol w:w="1868"/>
        <w:gridCol w:w="1869"/>
        <w:gridCol w:w="1711"/>
        <w:gridCol w:w="1711"/>
        <w:gridCol w:w="1714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Остановочные пункты и пункты перехода через государственную границу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остановочными пунктами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рейса)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рейса)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стоянки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стоянки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       (круглогодично, сезонный от (день, месяц, год) - до (день, месяц, год))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Дни выхода автобусов по данному маршруту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0"/>
        <w:gridCol w:w="130"/>
        <w:gridCol w:w="130"/>
        <w:gridCol w:w="130"/>
        <w:gridCol w:w="130"/>
        <w:gridCol w:w="130"/>
        <w:gridCol w:w="130"/>
        <w:gridCol w:w="130"/>
      </w:tblGrid>
      <w:tr>
        <w:trPr>
          <w:trHeight w:val="30" w:hRule="atLeast"/>
        </w:trPr>
        <w:tc>
          <w:tcPr>
            <w:tcW w:w="1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из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(начальный пункт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со стороны РК)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перевозчик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перевозчик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из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(начальный пункт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со стороны КНР)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перевозчик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перевозчик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8"/>
        <w:gridCol w:w="6412"/>
      </w:tblGrid>
      <w:tr>
        <w:trPr>
          <w:trHeight w:val="30" w:hRule="atLeast"/>
        </w:trPr>
        <w:tc>
          <w:tcPr>
            <w:tcW w:w="5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Ф.И.О.,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и печать)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_______20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(день) (месяц)    (год)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китайского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подпись должностного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_______20 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(день) (месяц)     (год)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Стороны,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и печать)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(день)       (месяц)       (год)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движения автобусов по ругулярному международному маршруту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маршрута)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