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eb51" w14:textId="c75e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Заключительные замечания по объединенным третьему и четвертому периодическим докладам Казахстана (Конвенция о ликвидации всех форм дискриминации в отношении женщин)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Заключительные замечания. Комитет по ликвидации дискриминации в отношении женщин от 10 марта 2014 года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1. Комитет рассмотрел объединенные третий и четвертый периодические доклады Казахстана (CEDAW/C/KAZ/3-4) на своих 1193-м и 1194-м заседаниях 14 февраля 2014 года (см. CEDAW/C/SR.1193 и 1194). Перечень тем и вопросов Комитета содержится в документе CEDAW/C/KAZ/Q/3-4, и ответы правительства Казахстана содержатся в документе CEDAW/C/KAZ/Q/3-4/Add.1.</w:t>
      </w:r>
    </w:p>
    <w:bookmarkEnd w:id="0"/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A. Введение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выражает признательность государству-участнику за представление своих объединенных третьего и четвертого периодических докладов. Комитет также благодарит государство-участник за письменные ответы на перечень тем и вопросов, поднятых его предсессионной рабочей группой. Комитет приветствует устную презентацию делегации и последовавшие уточнения, представленные в ответ на устные вопросы, заданные Комитетом в ходе диалога.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 выражает признательность делегации государства-участника, возглавляемой Председателем Национальной комиссии по делам женщин и семейно- демографической политике. В состав делегации также вошли представители Мажилиса (нижней палаты парламента), Национальной комиссии по делам женщин и семейно- демографической политике, Министерства юстиции, Министерства образования и науки, Министерства экономики и бюджетного планирования, Министерства регионального развития, Министерства культуры и информации, Министерства внутренних дел, Министерства труда и социального обеспечения, Генеральной прокуратуры, Министерства общественного здравоохранения и Министерства иностранных дел.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B. Позитивные аспекты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приветствует прогресс, достигнутый за период после рассмотрения в 2007 году второго периодического доклада государства-участника (CEDAW/C/KAZ/2) за счет принятия следующих законодательных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гарантиях равных прав и равных возможностей мужчин и женщин", в 2009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профилактике бытового насилия", в 2009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пенсионном обеспечении", в 2013 году, который уравнял возраст выхода на пенсию для мужчин и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 приветствует предпринимаемые государством-участником усилия по совершенствованию своих политических механизмов с целью скорейшей ликвидации дискриминации в отношении женщин и содействия гендерному равенству,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принятие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гендерного равенства на 2006–2016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программу "Саламатты Казакстан" на 2011–2015 годы, основной задачей которой является обеспечение женщин услугами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учреждение Фонда развития предпринимательства "Даму", который реализует проекты, направленные на развитие женского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Комитет приветствует присоединение государства-участника к нижеперечисленным международным инструментам: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Международная конвенция для защиты всех лиц от насильственных исчезновений, в 2009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Первый </w:t>
      </w:r>
      <w:r>
        <w:rPr>
          <w:rFonts w:ascii="Times New Roman"/>
          <w:b w:val="false"/>
          <w:i w:val="false"/>
          <w:color w:val="000000"/>
          <w:sz w:val="28"/>
        </w:rPr>
        <w:t>факультативный 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Международному пакту о гражданских и политических правах, в 2009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 </w:t>
      </w:r>
      <w:r>
        <w:rPr>
          <w:rFonts w:ascii="Times New Roman"/>
          <w:b w:val="false"/>
          <w:i w:val="false"/>
          <w:color w:val="000000"/>
          <w:sz w:val="28"/>
        </w:rPr>
        <w:t>Факультативный 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Конвенции против пыток и других жестоких, бесчеловечных или унижающих достоинство видов обращения и наказания, в 2008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Протокол о предупреждении и пресечении торговли людьми, особенно женщинами и детьми, и наказании за нее, дополняющий Конвенцию Организации Объединенных Наций против транснациональной организованной преступности, в 2008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Протокол против незаконного ввоза мигрантов по суше, морю и воздуху, дополняющий Конвенцию Организации Объединенных Наций против транснациональной организованной преступности, в 2008 году.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C. Основные вопросы, вызывающие обеспокоенность, и рекомендации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Парламент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 подчеркивает ключевую роль законодательной власти в деле обеспечения полного осуществления Конвенции (см. заявление Комитета о его взаимосвязи с парламентариями, сделанное на сорок пятой сессии в 2010 году). Комитет предлагает парламенту, в соответствии с его мандатом, предпринять необходимые шаги по осуществлению настоящих заключительных замечаний в период до представления следующего доклада в соответствии с Конвенцией.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Распространение информации о Конвенции и общих рекомендациях</w:t>
      </w:r>
      <w:r>
        <w:br/>
      </w:r>
      <w:r>
        <w:rPr>
          <w:rFonts w:ascii="Times New Roman"/>
          <w:b/>
          <w:i w:val="false"/>
          <w:color w:val="000000"/>
        </w:rPr>
        <w:t>
Комитета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Отмечая, что в соответствии со статьей 4 (3) Конституции государства-участника Конвенция и другие международные договоры, ратифицированные государством- участником, применяются непосредственным образом и имеют преимущественную си- лу над национальными законами, Комитет в то же время обеспокоен тем, что распро- странение информации о Конвенции, ее непосредственное применение, а также уровень осведомленности о его общих рекомендациях являются недостаточными, несмотря на усилия Верховного суда, направленные на содействие более глубокому пониманию по- ложений Конвенции. Комитет испытывает особую обеспокоенность в связи с отсутст- вием в судебной практике дел, касающихся гендерной дискриминации и дискримина- ции по признаку пола, и сообщениями о том, что непосредственные ссылки на положе- ния Конвенции или их непосредственное применение национальными судами имели место при рассмотрении небольшого числа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9. Комитет призывает государство-участник: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а) активизировать осуществление имеющихся программ для обеспече- ния надлежащего распространения текста Конвенции и общих рекомендаций Ко- митета среди соответствующих заинтересованных сторон, включая правительст- венных должностных лиц, парламентариев, судей, юристов, сотрудников правоох- ранительных органов и общинных руководителей, с целью повысить уровень ин- формированности о правах женщин в государстве-участнике;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b) принять все надлежащие меры для повышения уровня осведомленности женщин об их правах и средствах их реализации, включая облегчение доступа к компендиуму правовых договоров Организации Объединенных Наций по вопросам равноправия мужчин и женщин, опубликованному на веб-сайте Верховного суда государства-участника;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c) проводить обучение судей и юристов по вопросам, касающимся решений Комитета в рамках Факультативного протокола, а также при необходимости применять положения Конвенции и ссылаться на них в ходе судебных разбирательств.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Определение дискриминации в отношении женщин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Комитет отмечает, что принятый в 2009 году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гарантиях равных прав и равных возможностей мужчин и женщин" предусматривает запрет на гендерную дискриминацию и дискриминацию по признаку пола в отношении женщин. Вместе с тем Комитет с обеспокоенностью отмечает, что определение гендерной дискриминации в этом Законе не охватывает элементы как прямой, так и косвенной дискриминации в соответствии со статьей 1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11. Комитет подтверждает свои предыдущие заключительные замечания (CEDAW/C/KAZ/CO/2, пункт 12) и призывает государство-участник принять всеобъемлющее правовое определение дискриминации в отношении женщин в соответствии со статьей 1 Конвенции, охватывающее как прямую, так и косвенную дискриминацию в публичной и частной сферах, в его Конституции или других соответствующих национальных законах и запретить такую дискриминацию в соответствии с Конвенцией и предусмотреть наказание за нее.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Доступ к правосудию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 обеспокоен тем, что женщины редко предпринимают попытки добиться правосудия и ответственности по закону, сталкиваясь с гендерным и сексуальным насилием и дискриминацией, и что в тех случаях, когда они возбуждают дело в суде, им нередко приходится преодолевать целый ряд таких препятствий, как социальная стигматизация и сохраняющиеся уничижительные стереотипы. Комитет также обеспокоен нехваткой бесплатной юридической помощи в государстве-участнике.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13. Комитет рекомендует государству-участнику: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а) проводить информационно-просветительские кампании для ликвидации стигматизации и уничижительных стереотипов, с которыми сталкиваются женщины, добивающиеся правосудия;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b) обеспечить систематическую подготовку судей, прокуроров и адвокатов по вопросам применения законодательства, запрещающего дискриминацию и насилие в отношении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с) обеспечить, чтобы женщины имели эффективный доступ к правосудию, в том числе на основе предоставления юридической помощи, особенно женщинам, принадлежащим к находящимся в неблагоприятном положении группам, и в соответствующих случаях оказывать поддержку по всей стране неправительственным организациям, содействующим доступу женщин к правосудию.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Временные специальные меры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Комитет приветствует тот факт, что государство-участник поставило цель добиться 30-процентной доли участия женщин в процессе принятия решений в составе выборных и назначаемых органов и что государство-участник добилось определенного прогресса в этом отношении. Комитет испытывает обеспокоенность в связи с тем фактом, что временные специальные меры не используются в других областях, охваченных Конвенцией, для ускорения достижения фактического равноправия женщин и мужчин.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15. Комитет призывает государство-участник рассмотреть вопрос об использовании временных специальных мер в соответствии со статьей 4 (1) Конвенции и общей рекомендацией Комитета № 25 о временных специальных мерах в качестве необходимой стратегии, направленной на ускорение достижения существенного равноправия женщин и мужчин во всех охваченных Конвенцией областях, в которых женщины недопредставлены.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Стереотипы и вредные виды практики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Комитет ссылается на свои предыдущие заключительные замечания (CEDAW/C/KAZ/CO/2, пункт 13) и продолжает испытывать обеспокоенность в связи с сохранением негативных видов культурной практики и традиций, а также патриархальных взглядов и глубоко укоренившихся стереотипов в отношении роли и обязанностей женщин и мужчин в семье и обществе, особенно тех, в соответствии с которыми основное предназначение женщин заключается в уходе за детьми. Комитет отмечает, что подобные стереотипы способствуют расширению практики заключения браков в детском возрасте и многоженству в некоторых этнических группах и, соответственно, сохранению неблагоприятного и неравноправного положения женщин в обществе.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17. Комитет подтверждает свои предыдущие заключительные замечания (CEDAW/C/KAZ/CO/2, пункт 14) и настоятельно рекомендует государству-участнику: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а) активизировать усилия Национальной комиссии по делам женщин и семейно-демографической политике и других заинтересованных сторон по проведению просветительской работы с населением и повышению его осведомленности о сложившихся стереотипах в отношении мужчин и женщин, которые сохраняются на всех уровнях общества, с целью их искоренения;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b) расширить публичные образовательные программы, посвященные негативному воздействию таких стереотипов на реализацию женщинами своих прав, в частности в сельских районах и целевых общинах;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с) принять эффективные правовые меры по борьбе с заключением браков в детском возрасте и многоженством;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d) проводить регулярный мониторинг и обзор мер, предпринимаемых с целью устранения гендерных стереотипов, в целях оценки их воздействия.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Насилие в отношении женщин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Приветствуя принятие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профилактике бытового насилия" в 2009 году, Комитет в то же время выражает обеспокоенность отсутствием законодательства, устанавливающего уголовную ответственность за все формы насилия в отношении женщин, включая домогательство. Комитет также обеспокоен тем, что определение такого преступления, как изнасилование, содержащееся в статье 120 Уголовного кодекса и в декрете Верховного суда, ограничено проникающим вагинальным половым актом и что насилие или угроза применением насилия являются обязательными элементами этого преступления. Комитет обеспокоен также недостатком в надлежащем и регулярном финансировании кризисных центров и приютов для женщин, оказавшихся жертвами насилия. Комитет обеспокоен тем, что в Уголовном кодексе предусмотрено разграничение между актами насилия в отношении женщин, которые могут быть урегулированы во внесудебном порядке, когда предполагаемый преступник достигает примирения с жертвой и обязуется "компенсировать причиненный вред", и другими преступлениями, подлежащими рассмотрению в судебном порядке. Помимо этого, Комитет обеспокоен тем, что преследование в случае актов насилия может быть возбуждено только при подаче жертвой соответствующего заявления. Особую обеспокоенность у Комитета вызывает информация о том, что в случаях бытового насилия заявления подаются далеко не всегда из-за сложившейся традиции замалчивания подобных случаев, которая благоприятствует безнаказанности. Комитет отмечает, что государство-участник планирует ратифицировать Конвенцию Совета Европы о предотвращении насилия в отношении женщин и бытового насилия и борьбы с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19. Ссылаясь на свою общую рекомендацию № 19 о насилии в отношении женщин и свою предыдущую рекомендацию (CEDAW/C/KAZ/CO/2, пункт 16), Комитет настоятельно рекомендует государству-участнику: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a) использовать Конвенцию, общую рекомендацию Комитета № 19 и его решения при пересмотре законодательной базы для обеспечения того, чтобы пересмотренный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/>
          <w:i w:val="false"/>
          <w:color w:val="000000"/>
          <w:sz w:val="28"/>
        </w:rPr>
        <w:t xml:space="preserve"> "О профилактике бытового насилия" 2009 года и Уголовный кодекс полностью охватывали все формы насилия в отношении женщин, включая домогательство;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b) ввести в действие систему комплексного сбора данных обо всех формах насилия в отношении женщин и поощрять подачу заявлений обо всех формах насилия в отношении женщин и девочек, включая бытовое и сексуальное насилие;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с) обеспечивать эффективное расследование всех заявлений и возбуждение ex officio преследования по фактам насилия в отношении женщин, обеспечить назначение виновным соответствующих мер наказания, а также упразднить все виды посредничества и примирения в делах о насилии в отношении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d) пересмотреть действующее законодательство с целью приведения определения изнасилования как преступления в соответствие с Конвенцией и правовой практикой Комитета в соответствии с Факультативным протоколом;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е) обеспечить, чтобы законопроект, в котором предложены поправки в отношении финансирования кризисных центров и приютов, предусматривал достаточное и регулярное финансирование государством-участником этих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f) рассмотреть вопрос о ратификации Конвенции Совета Европы о предотвращении насилия в отношении женщин и бытового насилия и борьбе с ним.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Торговля людьми и эксплуатация проституции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Приветствуя вступление в силу закона о внесении некоторых изменений в закон о противодействии торговле людьми в июле 2013 года и поправки к Закону "О туристской деятельности" в 2007 году, предусматривающей запрет на использование индустрии туризма в целях организации незаконного выезда казахских граждан в иностранные страны, Комитет по-прежнему испытывает обеспокоенность в связи с тем, что государство-участник является страной происхождения, транзита и назначения в контексте торговли женщинами и девочками для использования главным образом в целях сексуальной эксплуатации и принудительного труда. Комитет также обеспокоен небольшим числом сообщений о преступлениях в форме торговли людьми. Помимо этого, он обеспокоен тем, что, хотя женщины, занимающиеся проституцией, и имеют доступ к медицинским услугам, в то же время отсутствуют данные в отношении программ, направленных на борьбу с проституцией, включая программы реабилитации и реинтеграции для женщин, желающих прекратить заниматься проституцией.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21. Комитет рекомендует государству-участнику: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а) активизировать усилия по устранению коренных причин торговли женщинами и девочками и обеспечить реабилитацию и социальную интеграцию жертв, в том числе путем предоставления им доступа к приютам, правовой, медицинской и психосоциальной помощи и альтернативным возможностям получения средств к существованию;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b) активизировать информационно-пропагандистскую работу, направленную на содействие увеличению числа заявлений о преступлениях в форме торговли людьми и выявление на ранних этапах женщин и девочек, являющихся жертвами торговли людьми;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с) активизировать усилия, направленные на развитие двустороннего, регионального и международного сотрудничества в деле предотвращения торговли людьми, в том числе на основе обмена информацией и согласования правовых процедур преследования лиц, занимающихся торговлей людьми, в частности с Содружеством Независимых Государств и другими странами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d) представить в своем следующем периодическом докладе информацию об имеющихся программах, направленных на борьбу с проституцией, включая программы по восстановлению и реинтеграции для женщин, желающих прекратить заниматься проституцией.</w:t>
      </w:r>
    </w:p>
    <w:bookmarkEnd w:id="21"/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Участие в политической и общественной жизни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приветствует прогресс, достигнутый государством-участником в поощрении участия женщин в политической и общественной жизни, отмечая, что государство-участник учредило реестр для назначения высококвалифицированных женщин на руководящие должности. Он также отмечает, что в Стратегии гендерного равенства на 2006–2016 годы поставлена цель добиться как минимум 30-процентного представительства женщин как на выборных, так и на назначаемых должностях. Комитет сохраняет обеспокоенность по поводу того, что женщины по-прежнему недопредставлены в законодательных органах (парламент и местные власти), а также на руководящих постах в политических партиях, на государственной службе, а также на дипломатической службе, особенно на уровне принятия решений. Комитет также обеспокоен тем, что электоральное законодательство не предусматривает ни добровольных, ни обязательных квот.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23. Комитет подтверждает свои предыдущие заключительные замечания (CEDAW/C/KAZ/CO/2, пункт 22) и рекомендует государству-участнику ввести меры по обеспечению эффективного осуществления Стратегии гендерного равенства на 2006-2016 годы на национальном и местном уровнях и принять более целенаправленные временные специальные меры в соответствии со статьей 4 (1) Конвенции и общими рекомендациями Комитета № 25 о временных специальных мерах и № 23 о женщинах в общественной жизни с целью ускорения полноценного и равноправного участия женщин в выборных и назначаемых органах, включая дипломатическую службу. Комитет также рекомендует государству-участнику проанализировать вопрос о возможном пересмотре действующего электорального законодательства для обеспечения того, чтобы в нормативно-законодательной базе нашли свое отражение временные специальные меры или квоты. Комитет также рекомендует принять совместно с политическими партиями конкретные меры по усилению руководящей роли женщин в политических партиях.</w:t>
      </w:r>
    </w:p>
    <w:bookmarkEnd w:id="23"/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Гражданство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Отмечая прогресс, достигнутый государством-участником в регистрации лиц с неустановленным гражданством и обеспечении для них доступа к основным услугам, Комитет в то же время обеспокоен тем, что по-прежнему имеются лица без гражданства, в том числе женщины и девочки, которые продолжают сталкиваться с трудностями в плане получения доступа к образованию, медицинскому обслуживанию и другим услугам из-за отсутствия у них документов, удостоверяющих личность, и доказательств проживания в государстве-участнике. Комитет также обеспокоен значительным числом незарегистрированных рождений в государстве-участнике.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25. Комитет рекомендует государству-участнику: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а) осуществить программы, направленные на ускорение легализации не имеющих гражданства женщин и девочек, и обеспечить, чтобы они имели надлежащий доступ к образованию, медицинскому обслуживанию и другим основным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b) активизировать проводимые им кампании по повышению уровня осведомленности общественности и принять конкретные меры для обеспечения того, чтобы малоимущие и сельские женщины были ознакомлены с требованиями, касающимися регистрации рождений, и могли без труда получить доступ к услугам по государственной регистрации рождений, включая выдачу свидетельств о рождении, предоставляемых государством.</w:t>
      </w:r>
    </w:p>
    <w:bookmarkEnd w:id="25"/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Образование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Отмечая высокий уровень образования среди женщин и девочек в государстве-участнике, Комитет в то же время обеспокоен стереотипным выбором предметов и направлений обучения, который находит свое отражение в структуре занятости, характеризующейся концентрацией женщин в таких традиционно женских областях, как здравоохранение и сфера услуг. Комитет также обеспокоен усиливающимся отсевом девочек из школ, частично обусловленным заключением браков в детском возрасте.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27. Комитет рекомендует государству-участнику: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а) поощрять выбор девочками и молодыми женщинами нетрадиционных направлений образования и профессий, в том числе путем принятия временных специальных мер, и осуществлять программы, направленные на консультирование юношей и девушек по всему спектру имеющихся возможностей для получения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b) сократить отсев девочек из школ за счет борьбы с браками в детском возрасте на основе разработки всеобъемлющей стратегии, которая должна, среди прочего, быть сосредоточена на повышении уровня осведомленности среди родителей, общинных руководителей и общественности в целом о вредных последствиях практики заключения браков между детьми;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с) включить в школьные программы адаптированные к возрасту школьников учебные курсы по вопросам сексуального и репродуктивного здоровья и соответствующим правам, включая всеобъемлющее половое воспитание девочек и мальчиков подросткового возраста, охватывающее вопросы ответственного сексуального поведения.</w:t>
      </w:r>
    </w:p>
    <w:bookmarkEnd w:id="27"/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Занятость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Комитет отмечает прогресс, достигнутый государством-участником за счет увеличения размеров заработной платы в тех секторах занятости, в которых сосредоточены женщины, и принятия в июне 2013 года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пенсионном обеспечении", который устанавливает одинаковый возраст выхода на пенсию для женщин и мужчин. При этом Комитет по-прежнему испытывает обеспокоенность в связи с сохраняющейся разницей в оплате труда между мужчинами и женщинами, высоким уровнем безработицы среди женщин и длинным перечнем запрещенных для женщин видов труда, в который входят в общей сложности 299 профессий. Комитет также продолжает испытывать обеспокоенность в связи с сохраняющейся профессиональной сегрегацией между женщинами и мужчинами на рынке труда и тем фактом, что женщины сосредоточены в тех областях занятости, в которых уровень оплаты труда ниже. Кроме того, Комитет испытывает обеспокоенность в связи с отсутствием в национальном законодательстве положений, запрещающих сексуальные домогательства на рабочем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29. Комитет подтверждает свои предыдущие заключительные замечания (CEDAW/C/KAZ/CO/2, пункт 24) и призывает государство-участник: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а) активизировать усилия в рамках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"Дорожная карта занятости 2020" с целью снижения уровня безработицы среди женщин, в частности за счет предоставления профессионально-технического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b) активизировать усилия, направленные на устранение структурного неравенства и профессиональной сегрегации, как горизонтальной, так и вертикальной, и принять меры, призванные сократить и ликвидировать разрыв в оплате труда женщин и мужчин на основе, среди прочего, последовательного пересмотра размеров оплаты труда в секторах, в которых в основном заняты женщины;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с) пересмотреть перечень запрещенных видов трудовой деятельности для женщин и рассмотреть возможность улучшения условий труда в таких областях занятости, которые считаются опасными для здоровья женщин, с тем чтобы содействовать работе женщин по таким профессиям;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d) безотлагательно принять всеобъемлющий закон о борьбе с сексуальными домогательствами на работе в соответствии с общей рекомендацией Комитета № 19 о насилии в отношении женщин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Здоровье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Комитет приветствует прогресс, достигнутый государством-участником в борьбе с передачей ВИЧ/СПИДа на основе внедрения перинатальных программ, направленных на профилактику передачи ВИЧ/СПИДа от матери ребенку, и внедрения программы "Саламатты Казакстан" на период 2011–2015 годов, в которой упор сделан на предоставление медицинской помощи женщинам. Вместе с тем Комитет испытывает обеспокоенность по поводу того, что, хотя доля населения, живущего с ВИЧ/СПИДом, невелика, темпы увеличения числа новых случаев инфицирования ВИЧ значительно превышают темпы роста населения и женщины по-прежнему подвергаются значительному риску заражения ВИЧ. Комитет также обеспокоен нехваткой данных о женщинах- наркоманках в обществе и тюрьмах, нуждающихся в лечении от наркотической зависимости и живущих с ВИЧ/СПИДом. Кроме того, Комитет обеспокоен отсутствием свободного доступа к противозачаточным средствам в перечне гарантируемых государством бесплатных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31. Комитет призывает государство-участник: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а) активизировать осуществление стратегий борьбы с ВИЧ/СПИДом, в частности профилактических стратегий, и продолжать предоставлять бесплатное антиретровирусное лечение всем женщинам и мужчинам, живущим с ВИЧ/СПИДом, включая беременных женщин, с целью предотвращения передачи инфекции от матери ребенку;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b) провести сбор данных о женщинах-наркоманках в тюрьмах и в обществе в целом для определения масштабов проблемы с целью разработки надлежащих мер по лечению от наркотической зависимости и определения числа лиц, живущих с ВИЧ/СПИДом и нуждающихся в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с) рассмотреть добавление доступа к полному спектру противозачаточных средств для женщин, в том числе проживающих в сельских районах, женщин-инвалидов и подростков, к перечню бесплатных медицинских услуг, гарантируемых государством.</w:t>
      </w:r>
    </w:p>
    <w:bookmarkEnd w:id="31"/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Группы женщин, находящихся в неблагоприятном положении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Принимая к сведению планы государства-участника по принятию плана действий в интересах престарелых и его усилия по улучшению условий жизни женщин-инвалидов и женщин, проживающих в сельских районах, Комитет тем не менее по-прежнему испытывает обеспокоенность по поводу того, что престарелые женщины, женщины-инвалиды и сельские женщины продолжают сталкиваться с трудностями в плане получения доступа к медицинскому обслуживанию, профессиональной подготовке и другим основным услугам.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33. Комитет призывает государство-участник: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а) уделить особое внимание потребностям престарелых женщин, женщин-инвалидов и сельских женщин для обеспечения их равного доступа к медицинским услугам, профессиональной подготовке, занятости и другим правам;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b) расширить доступ женщин к услугам микрофинансирования и микрокредитования по низким процентным ставкам с целью обеспечить им возможность участвовать в приносящей доход деятельности и начать свой собственный бизнес.</w:t>
      </w:r>
    </w:p>
    <w:bookmarkEnd w:id="33"/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Брак и семейные отношения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Комитет обеспокоен существованием традиционных и религиозных браков, которые основываются только на религиозных церемониях и устоявшихся традициях, включая фактически полигамные браки, при расторжении которых женщины и дети оказываются лишенными правовой и экономической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35. Комитет рекомендует государству-участнику эффективным образом обеспечивать соблюдение его законодательства в соответствии с общей рекомендацией Комитета № 29 об экономических последствиях брака, семейных отношений и их расторжения и защищать права женщин при расторжении таких религиозных или основанных на обычаях браков вне зависимости от того, были ли они официально зарегистрированы.</w:t>
      </w:r>
    </w:p>
    <w:bookmarkEnd w:id="35"/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Поправки к статье 20 (1) Конвенции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36. Комитет призывает государство-участник как можно скорее принять поправку к статье 20 (1) Конвенции, касающейся сроков проведения заседаний Комитета.</w:t>
      </w:r>
    </w:p>
    <w:bookmarkEnd w:id="37"/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Пекинская декларация и Платформа действий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37. Комитет предлагает государству-участнику использовать Пекинскую декларацию и Платформу действий в своих усилиях по осуществлению положений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Цели развития тысячелетия и рамочная программа развития на период после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38. Комитет призывает к учету гендерной проблематики в контексте усилий по достижению Целей развития тысячелетия и в рамочной программе развития на период после 2015 года.</w:t>
      </w:r>
    </w:p>
    <w:bookmarkEnd w:id="39"/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Распространение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39. Комитет напоминает об обязательстве государства-участника систематически и постоянно осуществлять положения Конвенции. Он настоятельно призывает государство-участник уделять первоочередное внимание выполнению настоящих заключительных замечаний и рекомендаций в период до представления следующего периодического доклада. Исходя из этого, Комитет просит своевременно распространить настоящие заключительные замечания на официальном языке государства-участника среди соответствующих государственных учреждений на всех уровнях (местном, провинциальном, национальном), в частности препроводить их правительству, министерствам, парламенту и органам юстиции с целью обеспечения их полного осуществления. Комитет призывает государство-участник взаимодействовать со всеми заинтересованными сторонами, включая ассоциации предпринимателей, профсоюзы, правозащитные и женские организации, университеты и научно-исследовательские учреждения, СМИ и т. д. Комитет далее рекомендует распространить его заключительные замечания в соответствующей форме на уровне местных общин, чтобы обеспечить их выполнение. Кроме того, Комитет предлагает государству-участнику и далее распространять среди всех заинтересованных сторон тексты Конвенции и Факультативного протокола к ней, равно как и сведения об относящейся к ним судебной практике, а также общие рекомендации Комитета.</w:t>
      </w:r>
    </w:p>
    <w:bookmarkEnd w:id="41"/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Ратификация прочих договоров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40. Комитет отмечает, что приверженность государства-участника девяти главным международным документам по правам человека укрепила бы положение женщин с точки зрения пользования своими правами человека и основными свободами во всех аспектах жизни. Именно поэтому Комитет призывает государство-участник рассмотреть вопрос о ратификации договоров, стороной в которых он еще не является, а именно: Конвенция о правах инвалидов и Международной конвенции о защите прав всех трудящихся-мигрантов и членов их семей.</w:t>
      </w:r>
    </w:p>
    <w:bookmarkEnd w:id="43"/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Последующая деятельность по заключительным замечаниям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41. Комитет предлагает государству-участнику представить, в течение двух лет, письменную информацию о предпринятых мерах по осуществлению рекомендаций, содержащихся в пунктах 19 и 29 (b) и (c), выше.</w:t>
      </w:r>
    </w:p>
    <w:bookmarkEnd w:id="45"/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Подготовка следующего доклада</w:t>
      </w:r>
    </w:p>
    <w:bookmarkEnd w:id="46"/>
    <w:bookmarkStart w:name="z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42. Комитет предлагает государству-участнику представить его пятый периодический доклад в феврале 2018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43. Комитет просит государство-участник придерживаться согласованных руководящих принципов представления докладов согласно международным договорам о правах человека, включая руководящие принципы подготовки общего базового документа и документов по конкретным договорам (HRI/MC/2006/3 и Corr.1).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