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86dd" w14:textId="f168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Права человека при отправлении правосудия, в частности правосудия в отношении несовершеннолетних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Резолюция, принятая Советом по правам человека от 14 октября 2011 года № A/HRC/RES/18/12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Генеральная Ассамблея Организации Объединенных Наций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Совет по правам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Восемнадцатая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Пункт 3 повестки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Поощрение и защита всех прав человека,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гражданских, политических, экономических,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социальных и культурных прав,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включая право на развитие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Совет по правам человека,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ссылаясь </w:t>
      </w:r>
      <w:r>
        <w:rPr>
          <w:rFonts w:ascii="Times New Roman"/>
          <w:b w:val="false"/>
          <w:i w:val="false"/>
          <w:color w:val="000000"/>
          <w:sz w:val="28"/>
        </w:rPr>
        <w:t>на Всеобщую декларацию прав человека и все соответствующие международные договоры, включая Международный пакт о гражданских и политических правах и Конвенцию о правах ребенка,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учитывая </w:t>
      </w:r>
      <w:r>
        <w:rPr>
          <w:rFonts w:ascii="Times New Roman"/>
          <w:b w:val="false"/>
          <w:i w:val="false"/>
          <w:color w:val="000000"/>
          <w:sz w:val="28"/>
        </w:rPr>
        <w:t>другие многочисленные международные стандарты и нормы в области отправления правосудия, в частности правосудия в отношении несовершеннолетних, такие как </w:t>
      </w:r>
      <w:r>
        <w:rPr>
          <w:rFonts w:ascii="Times New Roman"/>
          <w:b w:val="false"/>
          <w:i w:val="false"/>
          <w:color w:val="000000"/>
          <w:sz w:val="28"/>
        </w:rPr>
        <w:t>Минимальные стандартные правила обращения с заключенными</w:t>
      </w:r>
      <w:r>
        <w:rPr>
          <w:rFonts w:ascii="Times New Roman"/>
          <w:b w:val="false"/>
          <w:i w:val="false"/>
          <w:color w:val="000000"/>
          <w:sz w:val="28"/>
        </w:rPr>
        <w:t>, Минимальные стандартные правила Организации Объединенных Наций, касающиеся отправления правосудия в отношении несовершеннолетних (</w:t>
      </w:r>
      <w:r>
        <w:rPr>
          <w:rFonts w:ascii="Times New Roman"/>
          <w:b w:val="false"/>
          <w:i w:val="false"/>
          <w:color w:val="000000"/>
          <w:sz w:val="28"/>
        </w:rPr>
        <w:t>Пекинские правила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Основные принципы обращения с заключенными</w:t>
      </w:r>
      <w:r>
        <w:rPr>
          <w:rFonts w:ascii="Times New Roman"/>
          <w:b w:val="false"/>
          <w:i w:val="false"/>
          <w:color w:val="000000"/>
          <w:sz w:val="28"/>
        </w:rPr>
        <w:t>, Свод принципов защиты всех лиц, подвергаемых задержанию или заключению в какой бы то ни было форме, </w:t>
      </w:r>
      <w:r>
        <w:rPr>
          <w:rFonts w:ascii="Times New Roman"/>
          <w:b w:val="false"/>
          <w:i w:val="false"/>
          <w:color w:val="000000"/>
          <w:sz w:val="28"/>
        </w:rPr>
        <w:t>Руководящие принципы Организации Объединенных Наций для предупреждения преступности среди несовершеннолетних</w:t>
      </w:r>
      <w:r>
        <w:rPr>
          <w:rFonts w:ascii="Times New Roman"/>
          <w:b w:val="false"/>
          <w:i w:val="false"/>
          <w:color w:val="000000"/>
          <w:sz w:val="28"/>
        </w:rPr>
        <w:t xml:space="preserve"> (Эр-Риядские руководящие принципы) и Правила Организации Объединенных Наций, касающиеся защиты несовершеннолетних, лишенных свободы (Гаванские правила), Руководящие принципы в отношении действий в интересах детей в системе уголовного правосудия (Венские руководящие принципы) и Руководящие принципы Организации Объединенных Наций, касающиеся правосудия в вопросах, связанных с участием детей - жертв и свидетелей преступлений,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приветствуя Правила Организации Объединенных Наций, касающиеся обращения с женщинами-заключенными и мер наказания для женщин-правонарушителей, не связанных с лишением свободы (Бангкокские правила), принятые Генеральной Ассамблеей в ее резолюции 65/229 от 21 декабря 2010 года, как одно из последних нововведений, заслуживающих должного внимания, и Сальвадорскую декларацию о комплексных стратегиях для ответа на глобальные вызовы: системы предупреждения преступности и уголовного правосудия и их развитие в изменяющемся мире, принятую Ассамблеей в ее резолюции 65/230 от 21 декабря 2010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ссылаясь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все резолюции Совета по правам человека, Комиссии по правам человека, Генеральной Ассамблеи и Экономического и Социального Совета по этому вопросу, в частности на резолюции Совета по правам человека 7/29 от 28 марта 2008 года и 10/2 от 25 марта 2009 года, резолюции Ассамблеи 62/158 от 18 декабря 2007 года, 63/241 от 24 декабря 2008 года и 65/231 от 21 декабря 2010 года и резолюцию Экономического и Социального Совета 2009/26 от 30 июля 2009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 интересом отмечая </w:t>
      </w:r>
      <w:r>
        <w:rPr>
          <w:rFonts w:ascii="Times New Roman"/>
          <w:b w:val="false"/>
          <w:i w:val="false"/>
          <w:color w:val="000000"/>
          <w:sz w:val="28"/>
        </w:rPr>
        <w:t>принятие Комитетом по правам человека его замечаний общего порядка № 21 о гуманном обращении с лицами, лишенными свободы, и № 32 о праве на равенство перед судами и трибуналами и на справедливое судебное разбирательство, а также принятие Комитетом по правам ребенка его замечаний общего порядка № 10 о правах детей в рамках отправления правосудия в отношении несовершеннолетних и № 13 о праве ребенка на свободу от всех форм насилия,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принимая во внимание </w:t>
      </w:r>
      <w:r>
        <w:rPr>
          <w:rFonts w:ascii="Times New Roman"/>
          <w:b w:val="false"/>
          <w:i w:val="false"/>
          <w:color w:val="000000"/>
          <w:sz w:val="28"/>
        </w:rPr>
        <w:t>свое решение о том, чтобы посвятить в 2012 году заседание в течение полного рабочего дня вопросу о правах детей и отправлении правосудия,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признавая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усилия Генерального секретаря, предпринятые с целью улучшения координации деятельности Организации Объединенных Наций в области отправления правосудия, верховенства права и правосудия в отношении несовершеннолетних,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 признательностью отмечая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важную работу, проводимую в области отправления правосудия Управлением Верховного комиссара Организации Объединенных Наций по правам человека, Управлением Организации Объединенных Наций по наркотикам и преступности, Детским фондом Организации Объединенных Наций, Специальным представителем Генерального секретаря по вопросу о насилии в отношении детей и Специальным представителем Генерального секретаря по вопросу о детях и вооруженных конфликтах,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 удовлетворением отмечая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работу Межучрежденческой группы по правосудию в отношении несовершеннолетних и ее членов, включая Детский фонд Организации Объединенных Наций, Управление Верховного комиссара Организации Объединенных Наций по правам человека, Управление по наркотикам и преступности Организации Объединенных Наций, Программу развития Организации Объединенных Наций, Департамент операций по поддержанию мира, Комитет по правам ребенка и различные неправительственные организации, в частности осуществляемую ими координацию в деле предоставления технических консультаций и помощи в области правосудия в отношении несовершеннолетних, а также активное участие гражданского общества в их соответствующей работе,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вновь подтверждая</w:t>
      </w:r>
      <w:r>
        <w:rPr>
          <w:rFonts w:ascii="Times New Roman"/>
          <w:b w:val="false"/>
          <w:i w:val="false"/>
          <w:color w:val="000000"/>
          <w:sz w:val="28"/>
        </w:rPr>
        <w:t>, что независимость и беспристрастность судей, независимость юристов и неподкупность судебной системы являются важнейшими предпосылками обеспечения защиты прав человека и отсутствия какой-либо дискриминации при отправлении правосудия,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подчеркивая</w:t>
      </w:r>
      <w:r>
        <w:rPr>
          <w:rFonts w:ascii="Times New Roman"/>
          <w:b w:val="false"/>
          <w:i w:val="false"/>
          <w:color w:val="000000"/>
          <w:sz w:val="28"/>
        </w:rPr>
        <w:t>, что право на доступ к правосудию для всех является важной основой для укрепления верховенства закона путем отправления правосудия,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напоминая о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том, что каждому государству следует создать эффективную систему средств правовой защиты для рассмотрения жалоб в связи с нарушениями прав человека и устранения таких нарушений,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напоминая также</w:t>
      </w:r>
      <w:r>
        <w:rPr>
          <w:rFonts w:ascii="Times New Roman"/>
          <w:b w:val="false"/>
          <w:i w:val="false"/>
          <w:color w:val="000000"/>
          <w:sz w:val="28"/>
        </w:rPr>
        <w:t>, что социальная реинтеграция лиц, лишенных свободы, должна быть одной из важнейших целей системы уголовного правосудия, обеспечивая, насколько это возможно, чтобы правонарушители были готовы и способны вести законопослушный образ жизни и обеспечивать свое существование по возвращении к жизни в обществе,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признавая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важность принципа, в соответствии с которым лица, лишенные свободы, должны продолжать пользоваться не допускающими отступлений правами человека и всеми другими правами человека и основными свободами, за исключением тех законных ограничений, необходимость которых явно обусловлена фактом заключения в тюрьму,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осознавая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потребность в особой бдительности с учетом специфики положения детей и несовершеннолетних, а также женщин, особенно лишенных свободы, при отправлении правосудия и их уязвимости перед насилием, злоупотреблениями, несправедливостью и унижением,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подтверждая</w:t>
      </w:r>
      <w:r>
        <w:rPr>
          <w:rFonts w:ascii="Times New Roman"/>
          <w:b w:val="false"/>
          <w:i w:val="false"/>
          <w:color w:val="000000"/>
          <w:sz w:val="28"/>
        </w:rPr>
        <w:t>, что наилучшие интересы ребенка должны быть основным соображением при принятии любых решений, касающихся лишения свободы, и в частности что лишение детей и несовершеннолетних свободы должно использоваться лишь в качестве крайней меры и в течение кратчайшего необходимого периода времени, особенно до суда, и необходимость обеспечения того, чтобы в случае ареста, задержания или заключения под стражу дети содержались отдельно от взрослых, насколько это практически осуществимо, если только не считается, что в наилучших интересах ребенка этого делать не следует,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подтверждая также</w:t>
      </w:r>
      <w:r>
        <w:rPr>
          <w:rFonts w:ascii="Times New Roman"/>
          <w:b w:val="false"/>
          <w:i w:val="false"/>
          <w:color w:val="000000"/>
          <w:sz w:val="28"/>
        </w:rPr>
        <w:t>, что обеспечение наилучших интересов ребенка должно быть важным фактором во всех вопросах, касающихся ребенка, в связи с вынесением приговора его родителям или, в соответствующих случаях, законным или основным опекунам,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/>
          <w:color w:val="000000"/>
          <w:sz w:val="28"/>
        </w:rPr>
        <w:t>приветствует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последние доклады Генерального секретаря, представленные Совету по правам человека по вопросу о правах человека при отправлении правосудия, в частности правосудия в отношении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/>
          <w:color w:val="000000"/>
          <w:sz w:val="28"/>
        </w:rPr>
        <w:t xml:space="preserve">вновь подтверждает </w:t>
      </w:r>
      <w:r>
        <w:rPr>
          <w:rFonts w:ascii="Times New Roman"/>
          <w:b w:val="false"/>
          <w:i w:val="false"/>
          <w:color w:val="000000"/>
          <w:sz w:val="28"/>
        </w:rPr>
        <w:t>важность полного и эффективного применения всех стандартов Организации Объединенных Наций в области прав человека при отправлении правосудия;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/>
          <w:color w:val="000000"/>
          <w:sz w:val="28"/>
        </w:rPr>
        <w:t>призывает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 приложить все усилия в целях обеспечения эффективных законодательных, судебных, социальных, образовательных и других механизмов и процедур, а также достаточных ресурсов для полномасштабного применения этих стандартов и предлагает им принимать во внимание вопрос о правах человека при отправлении правосудия в процессе универсального периодического обзора;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/>
          <w:color w:val="000000"/>
          <w:sz w:val="28"/>
        </w:rPr>
        <w:t>предлагает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правительствам включать в свои национальные планы развития вопросы отправления правосудия в качестве неотъемлемой части процесса развития и выделять надлежащие ресурсы для предоставления юридических консультационных услуг в целях поощрения и защиты прав человека и призывает международное сообщество положительно реагировать на просьбы об оказании финансовой и технической помощи для расширения и укрепления деятельности по отправлению правосудия;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/>
          <w:color w:val="000000"/>
          <w:sz w:val="28"/>
        </w:rPr>
        <w:t xml:space="preserve">подчеркивает </w:t>
      </w:r>
      <w:r>
        <w:rPr>
          <w:rFonts w:ascii="Times New Roman"/>
          <w:b w:val="false"/>
          <w:i w:val="false"/>
          <w:color w:val="000000"/>
          <w:sz w:val="28"/>
        </w:rPr>
        <w:t>особую необходимость создания национального потенциала в области отправления правосудия, в частности в целях обеспечения и поддержания социальной стабильности и правопорядка в постконфликтных ситуациях, посредством реформирования судебной системы, полиции и уголовно-исполнительной системы, а также реформы правосудия в отношении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/>
          <w:color w:val="000000"/>
          <w:sz w:val="28"/>
        </w:rPr>
        <w:t xml:space="preserve">предлагает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правительствам обеспечивать подготовку, в том числе в духе борьбы с расизмом, многообразия культур и учета гендерного фактора и прав детей, по вопросам прав человека при отправлении правосудия, включая правосудие в отношении несовершеннолетних, для всех судей, адвокатов, прокуроров, социальных работников, сотрудников иммиграционных служб, исправительных учреждений и полиции и других специалистов, работающих в области отправления правосудия;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/>
          <w:color w:val="000000"/>
          <w:sz w:val="28"/>
        </w:rPr>
        <w:t>призывает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 уделять должное внимание Правилам Организации Объединенных Наций, касающимся обращения с женщинами-заключенными и мер наказания для женщин-правонарушителей, не связанных с лишением свободы, при разработке и реализации соответствующих законов, процедур, политики и практики, и предлагает соответствующим мандатариям специальных процедур, Управлению Верховного комиссара Организации Объединенных Наций по правам человека, Управлению Организации Объединенных Наций по наркотикам и преступности и всем другим соответствующим организациям принимать эти правила во внимание в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/>
          <w:color w:val="000000"/>
          <w:sz w:val="28"/>
        </w:rPr>
        <w:t>признает</w:t>
      </w:r>
      <w:r>
        <w:rPr>
          <w:rFonts w:ascii="Times New Roman"/>
          <w:b w:val="false"/>
          <w:i w:val="false"/>
          <w:color w:val="000000"/>
          <w:sz w:val="28"/>
        </w:rPr>
        <w:t>, что с каждым ребенком и несовершеннолетним, вступающим в конфликт с законом, следует обращаться таким образом, чтобы это отвечало его правам, достоинству и потребностям, согласно положениям международного права, с учетом соответствующих международных стандартов, касающихся соблюдения прав человека при отправлении правосудия, и призывает государства - участники Конвенции о правах ребенка строго соблюдать закрепленные в ней принципы и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государствам, которые еще не сделали этого, обеспечить учет интересов детей в рамках их деятельности по поддержанию правопорядка и разработать и осуществить комплексную политику в области правосудия в отношении несовершеннолетних для предотвращения преступности среди несовершеннолетних и борьбы с ней, а также с целью содействия, в частности, применению альтернативных мер, таких как изъятие из компетенции системы уголовной юстиции и реституционное правосудие, и обеспечения соблюдения принципа, согласно которому лишение детей свободы должно использоваться лишь в качестве крайней меры и в течение кратчайшего необходимого периода времени, а также, насколько это возможно, избегать досудебного лишения свободы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содействовать тесному сотрудничеству между секторами правосудия, различными правоохранительными службами, секторами социального обеспечения и образования, с тем чтобы способствовать более широкому и эффективному применению альтернативных мер в рамках отправления правосудия в отношении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/>
          <w:color w:val="000000"/>
          <w:sz w:val="28"/>
        </w:rPr>
        <w:t>подчеркивает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важность включения в свою политику в области правосудия в отношении несовершеннолетних стратегий по вопросам реабилитации и реинтеграции бывших малолетних правонарушителей, в частности через программы просвещения, призванные побудить их выполнять созидательную роль в обществе;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не устанавливать минимальный возраст уголовной ответственности на слишком низком уровне, а учитывать эмоциональную, духовную и интеллектуальную зрелость ребенка, и в этой связи ссылается на рекомендацию Комитета по правам ребенка о том, чтобы все государства без исключения повысили свой более низкий минимальный возраст уголовной ответственности до 12 лет в качестве абсолютного минимума и продолжали повышать его до более высокого возрастного предела;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/>
          <w:color w:val="000000"/>
          <w:sz w:val="28"/>
        </w:rPr>
        <w:t xml:space="preserve">настоятельно призывает </w:t>
      </w:r>
      <w:r>
        <w:rPr>
          <w:rFonts w:ascii="Times New Roman"/>
          <w:b w:val="false"/>
          <w:i w:val="false"/>
          <w:color w:val="000000"/>
          <w:sz w:val="28"/>
        </w:rPr>
        <w:t>государства обеспечить, чтобы в их законодательстве и практике преступления, совершенные лицами, не достигшими 18-летнего возраста, не влекли за собой приговоры в виде смертной казни или пожизненного заключения без возможности освобождения;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/>
          <w:color w:val="000000"/>
          <w:sz w:val="28"/>
        </w:rPr>
        <w:t>призывает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 принять или пересмотреть законодательство, предусматривающее, что любое действие, не рассматриваемое в качестве уголовного преступления и не влекущее за собой наказание в случае его совершения взрослым лицом, не должно рассматриваться в качестве преступления и не должно влечь за собой наказание в случае его совершения ребенком в целях недопущения стигматизации, виктимизации и криминализации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/>
          <w:color w:val="000000"/>
          <w:sz w:val="28"/>
        </w:rPr>
        <w:t xml:space="preserve">настоятельно призывает </w:t>
      </w:r>
      <w:r>
        <w:rPr>
          <w:rFonts w:ascii="Times New Roman"/>
          <w:b w:val="false"/>
          <w:i w:val="false"/>
          <w:color w:val="000000"/>
          <w:sz w:val="28"/>
        </w:rPr>
        <w:t>государства принять все необходимые меры к тому, чтобы дети, ставшие жертвами торговли людьми, не подлежали уголовной ответственности за их причастность к незаконной деятельности, если такая причастность является прямым следствием их положения в качестве жертв торговли людьми;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/>
          <w:color w:val="000000"/>
          <w:sz w:val="28"/>
        </w:rPr>
        <w:t xml:space="preserve">рекомендует </w:t>
      </w:r>
      <w:r>
        <w:rPr>
          <w:rFonts w:ascii="Times New Roman"/>
          <w:b w:val="false"/>
          <w:i w:val="false"/>
          <w:color w:val="000000"/>
          <w:sz w:val="28"/>
        </w:rPr>
        <w:t>государствам собирать соответствующую информацию о детях, оказавшихся в системе уголовного правосудия, в целях совершенствования системы отправления правосудия, памятуя о праве детей на неприкосновенность частной жизни, полностью соблюдая соответствующие международные договоры по правам человека и учитывая применимые международные стандарты, касающиеся соблюдения прав человека при отправлении правосудия;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/>
          <w:color w:val="000000"/>
          <w:sz w:val="28"/>
        </w:rPr>
        <w:t xml:space="preserve">призывает </w:t>
      </w:r>
      <w:r>
        <w:rPr>
          <w:rFonts w:ascii="Times New Roman"/>
          <w:b w:val="false"/>
          <w:i w:val="false"/>
          <w:color w:val="000000"/>
          <w:sz w:val="28"/>
        </w:rPr>
        <w:t>государства рассмотреть вопрос о создании независимых национальных или субнациональных механизмов для содействия мониторингу и защите прав детей, включая детей, оказавшихся в системе уголовного правосудия, и для решения проблем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/>
          <w:color w:val="000000"/>
          <w:sz w:val="28"/>
        </w:rPr>
        <w:t xml:space="preserve">подчеркивает </w:t>
      </w:r>
      <w:r>
        <w:rPr>
          <w:rFonts w:ascii="Times New Roman"/>
          <w:b w:val="false"/>
          <w:i w:val="false"/>
          <w:color w:val="000000"/>
          <w:sz w:val="28"/>
        </w:rPr>
        <w:t>важность уделения более пристального внимания последствиям лишения свободы родителей для их детей, с интересом отмечая день общей дискуссии по теме «Положение детей заключенных родителей», который будет организован в 2011 году Комитетом по правам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/>
          <w:color w:val="000000"/>
          <w:sz w:val="28"/>
        </w:rPr>
        <w:t xml:space="preserve">настоятельно призывает </w:t>
      </w:r>
      <w:r>
        <w:rPr>
          <w:rFonts w:ascii="Times New Roman"/>
          <w:b w:val="false"/>
          <w:i w:val="false"/>
          <w:color w:val="000000"/>
          <w:sz w:val="28"/>
        </w:rPr>
        <w:t>государства принять все необходимые и эффективные меры, включая, в случае необходимости, осуществление правовой реформы, в целях предотвращения и пресечения всех форм насилия в отношении детей, оказавшихся в системе правосудия;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/>
          <w:color w:val="000000"/>
          <w:sz w:val="28"/>
        </w:rPr>
        <w:t xml:space="preserve">призывает </w:t>
      </w:r>
      <w:r>
        <w:rPr>
          <w:rFonts w:ascii="Times New Roman"/>
          <w:b w:val="false"/>
          <w:i w:val="false"/>
          <w:color w:val="000000"/>
          <w:sz w:val="28"/>
        </w:rPr>
        <w:t>государства обращаться с просьбами о предоставлении технического консультирования и помощи в области правосудия в отношении несовершеннолетних к соответствующим учреждениям и программам Организации Объединенных Наций, в частности к Межучрежденческой группе по правосудию в отношении несовершеннолетних, в целях укрепления национального потенциала и инфраструктуры в области отправления правосудия, в частности правосудия в отношении несовершеннолетних, настоятельно рекомендуя государствам предоставлять достаточные ресурсы секретариату Группы и ее членам;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/>
          <w:color w:val="000000"/>
          <w:sz w:val="28"/>
        </w:rPr>
        <w:t>призывает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соответствующие специальные процедуры Совета по правам человека уделять особое внимание вопросам, касающимся эффективной защиты прав человека при отправлении правосудия, включая правосудие в отношении несовершеннолетних, и представлять в соответствующих случаях конкретные рекомендации по этим вопросам, в том числе предложения о мерах по оказанию консультационных услуг и технической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/>
          <w:color w:val="000000"/>
          <w:sz w:val="28"/>
        </w:rPr>
        <w:t>призывает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комиссара Организации Объединенных Наций по правам человека активизировать предоставление консультационных услуг и технической помощи в связи с деятельностью по созданию национального потенциала в области отправления правосудия, в частности правосудия в отношении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/>
          <w:color w:val="000000"/>
          <w:sz w:val="28"/>
        </w:rPr>
        <w:t xml:space="preserve">с удовлетворением отмечает </w:t>
      </w:r>
      <w:r>
        <w:rPr>
          <w:rFonts w:ascii="Times New Roman"/>
          <w:b w:val="false"/>
          <w:i w:val="false"/>
          <w:color w:val="000000"/>
          <w:sz w:val="28"/>
        </w:rPr>
        <w:t>решение о создании межправительственной группы экспертов открытого состава для обмена информацией о передовом опыте, о национальном законодательстве и действующих нормах международного права и о пересмотре существующих Минимальных стандартных правил обращения с заключенными Организации Объединенных Наций для отражения в них последних достижений в исправительной теории и передовой практике с целью выработки для Комиссии по предупреждению преступности и уголовному правосудию рекомендаций о возможных последующих шагах и в этой связи предлагает группе экспертов воспользоваться экспертными знаниями Управления Верховного комиссара и других соответствующих заинтересованных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/>
          <w:color w:val="000000"/>
          <w:sz w:val="28"/>
        </w:rPr>
        <w:t xml:space="preserve">предлагает </w:t>
      </w:r>
      <w:r>
        <w:rPr>
          <w:rFonts w:ascii="Times New Roman"/>
          <w:b w:val="false"/>
          <w:i w:val="false"/>
          <w:color w:val="000000"/>
          <w:sz w:val="28"/>
        </w:rPr>
        <w:t>Управлению Верховного комиссара организовать, в рамках имеющихся ресурсов, совместно с Управлением Организации Объединенных Наций по наркотикам и преступности и Специальным представителем Генерального секретаря по вопросу о насилии в отношении детей консультативное совещание экспертов по вопросу о предотвращении и пресечении насилия в отношении детей, оказавшихся в системе ювенальной юстиции, и представить доклад о его результатах;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/>
          <w:color w:val="000000"/>
          <w:sz w:val="28"/>
        </w:rPr>
        <w:t xml:space="preserve">просит </w:t>
      </w:r>
      <w:r>
        <w:rPr>
          <w:rFonts w:ascii="Times New Roman"/>
          <w:b w:val="false"/>
          <w:i w:val="false"/>
          <w:color w:val="000000"/>
          <w:sz w:val="28"/>
        </w:rPr>
        <w:t>Верховного комиссара представить Совету по правам человека на его двадцать первой сессии аналитический доклад о защите прав человека несовершеннолетних лиц, лишенных свободы, памятуя обо всех соответствующих стандартах в области прав человека и учитывая работу всех соответствующих правозащитных механизмов Организации Объединенных Наций;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продолжить рассмотрение этого вопроса в рамках этого же пункта повестки дня в соответствии со своей ежегодной программой работы.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36-заседание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29 сентября 2011 года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[Принята без голосования]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