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2882" w14:textId="d912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регулировании межгосударственного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от 22 января 1993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Неофициальный текст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Вступает в силу со дня обмена уведомлениями о выполнении Сторонами необходимых для его вступления в силу внутригосударственных процедур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депонировано 18 июля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депонировано 27 апреля 2000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- (о вступлении в силу со дня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депонировано 31 декабря 2004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выполняются);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депонировано 28 марта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выполняются);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депонировано 6 сентября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(Украина воздерживается от выполнения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внутригосударственных процедур).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депонирована 19 января 1996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не вступило в силу.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настоящего Соглашения, именуемые в дальнейшем Сторонами,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принципами равноправия и взаимовыгодности в экономических отношениях,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углублению экономического сотрудничества,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общих интересов согласования политики и регулирования эмиссии и обращения ценных бумаг, деятельности профессиональных участников рынка ценных бумаг (инвестиционных институтов) и фондовых бирж,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защиты интересов эмитентов, инвесторов и создания условий для эффективного развития рынка ценных бумаг,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необходимым обеспечить условия для доступа на рынки ценных бумаг своих государств эмитентов, инвесторов и инвестиционных институтов других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распространяется на следующие виды ценных бумаг: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долговые обязательства органов государственной власти и управления (государственные ценные бумаги);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и облигации хозяйствующих субъектов.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эмиссии и обращения государственных ценных бумаг одной Стороны на территории любой из других Сторон устанавливается по их взаимному согласованию.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считают целесообразным обеспечение равных возможностей для эмиссии и допуска к обращению на рынках ценных бумаг своих государств акций и облигаций, выпускаемых хозяйствующими субъектами, зарегистрированными на территории Сторон, при условии государственной регистрации ценных бумаг как по месту эмиссии, так и по месту их обращения.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эмиссия и обращение ценных бумаг производятся в соответствии с законодательством Стороны, где эмиссия и обращение осуществляются.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целесообразными сближение и последующую унификацию законодательства о ценных бумагах.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применять принцип однократного налогообложения доходов по ценным бумагам, от операций с ними и обеспечивать беспрепятственный перевод законно полученных доходов по ценным бумагам собственнику в государстве - участнике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расчетов при эмиссии и обращении ценных бумаг, переводов доходов по ценным бумагам и от операций с ними, а также порядок налогообложения устанавливаются по согласованию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не распространяется на ценные бумаги, выпущенные государственными органами власти и управления, хозяйствующими субъектами, находящимися под юрисдикцией государств, не являющихся участниками настоящего Соглашения. Стороны рассматривают указанные ценные бумаги в качестве иностранных, эмиссия и обращение которых на рынках Сторон регламентируются валютным и другим законодательством. В случае введения Стороной национальной валюты и выхода ее из рублевой зоны настоящее Соглашение теряет силу в отношении этого государства. По желанию этого государства оно может быть оставлено участником настоящего Соглашения при согласии всех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 рублевой зоны вправе присоединиться к настоящему Соглашению в любое время. Присоединение осуществляется путем подписания специального протокола, согласно которому государство выражает готовность принять на себя все вытекающие из настоящего Соглашения обязательства и приобретает статус Стороны. Протокол о присоединении к данному Соглашению вступает в силу с момента его сдачи Стороной депозитарию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Поправки к настоящему Соглашению могут быть приняты по взаимному согласию всех Сторон и оформляются специальным протоколом. Предложения о внесении поправок в настоящее Соглашение могут быть внесены любой из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 имеет право выхода из настоящего Соглашения. При этом Сторона не позже чем за три месяца до момента своего выхода официально уведомляет все другие Стороны о прекращении своего участия в настоящем Соглашении.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касающиеся настоящего Соглашения, решаются путем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обмена уведомлениями о выполнении Сторонами необходимых для его вступления в силу внутригосударственных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22 января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(подпись)                                   (подпись)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           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(подпись)                                   (подпись)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(подпись)                                   (подпись)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Кыргызстан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(подпись)                                   (подпись)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