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4ba4" w14:textId="7484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организации и проведению микробиологического мониторинга производственной среды для производителей стерильных и нестерильных лекарственных средств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25 августа 2026 года № 20.</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в соответствии с пунктом 3 статьи 3, статьями 9 и 10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в целях выработки общих подходов к соблюдению принципов надлежащей производственной практики при организации и проведении микробиологического мониторинга производственной среды при производстве стерильных и нестерильных лекарственных средств рекомендует государствам – членам Евразийского экономического союза по истечении 180 календарных дней с даты опубликования настоящей Рекомендации на официальном сайте Евразийского экономического союза при организации и проведении микробиологического мониторинга производственной среды принимать во внимание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августа 2026 г. № 20</w:t>
            </w:r>
          </w:p>
        </w:tc>
      </w:tr>
    </w:tbl>
    <w:bookmarkStart w:name="z4" w:id="1"/>
    <w:p>
      <w:pPr>
        <w:spacing w:after="0"/>
        <w:ind w:left="0"/>
        <w:jc w:val="left"/>
      </w:pPr>
      <w:r>
        <w:rPr>
          <w:rFonts w:ascii="Times New Roman"/>
          <w:b/>
          <w:i w:val="false"/>
          <w:color w:val="000000"/>
        </w:rPr>
        <w:t xml:space="preserve"> РУКОВОДСТВО</w:t>
      </w:r>
    </w:p>
    <w:bookmarkEnd w:id="1"/>
    <w:bookmarkStart w:name="z5" w:id="2"/>
    <w:p>
      <w:pPr>
        <w:spacing w:after="0"/>
        <w:ind w:left="0"/>
        <w:jc w:val="left"/>
      </w:pPr>
      <w:r>
        <w:rPr>
          <w:rFonts w:ascii="Times New Roman"/>
          <w:b/>
          <w:i w:val="false"/>
          <w:color w:val="000000"/>
        </w:rPr>
        <w:t xml:space="preserve"> по организации и проведению микробиологического мониторинга производственной среды для производителей стерильных и нестерильных лекарственных средств</w:t>
      </w:r>
    </w:p>
    <w:bookmarkEnd w:id="2"/>
    <w:bookmarkStart w:name="z6" w:id="3"/>
    <w:p>
      <w:pPr>
        <w:spacing w:after="0"/>
        <w:ind w:left="0"/>
        <w:jc w:val="left"/>
      </w:pPr>
      <w:r>
        <w:rPr>
          <w:rFonts w:ascii="Times New Roman"/>
          <w:b/>
          <w:i w:val="false"/>
          <w:color w:val="000000"/>
        </w:rPr>
        <w:t xml:space="preserve"> I. Сфера применения</w:t>
      </w:r>
    </w:p>
    <w:bookmarkEnd w:id="3"/>
    <w:bookmarkStart w:name="z7" w:id="4"/>
    <w:p>
      <w:pPr>
        <w:spacing w:after="0"/>
        <w:ind w:left="0"/>
        <w:jc w:val="both"/>
      </w:pPr>
      <w:r>
        <w:rPr>
          <w:rFonts w:ascii="Times New Roman"/>
          <w:b w:val="false"/>
          <w:i w:val="false"/>
          <w:color w:val="000000"/>
          <w:sz w:val="28"/>
        </w:rPr>
        <w:t>
      1. Настоящее Руководство содержит положения по организации и проведению микробиологического мониторинга производственной среды для производителей стерильных и нестерильных лекарственных средств государств – членов Евразийского экономического союза (далее соответственно – государства-члены, Союз).</w:t>
      </w:r>
    </w:p>
    <w:bookmarkEnd w:id="4"/>
    <w:bookmarkStart w:name="z8" w:id="5"/>
    <w:p>
      <w:pPr>
        <w:spacing w:after="0"/>
        <w:ind w:left="0"/>
        <w:jc w:val="both"/>
      </w:pPr>
      <w:r>
        <w:rPr>
          <w:rFonts w:ascii="Times New Roman"/>
          <w:b w:val="false"/>
          <w:i w:val="false"/>
          <w:color w:val="000000"/>
          <w:sz w:val="28"/>
        </w:rPr>
        <w:t xml:space="preserve">
      2. Настоящее Руководство основано на обобщении научных данных и практических рекомендаций международных документов и актов органов Союза в сфере обращения лекарственных средств, а также обобщении накопленного опыта фармацевтических производителей государств-членов. </w:t>
      </w:r>
    </w:p>
    <w:bookmarkEnd w:id="5"/>
    <w:bookmarkStart w:name="z9" w:id="6"/>
    <w:p>
      <w:pPr>
        <w:spacing w:after="0"/>
        <w:ind w:left="0"/>
        <w:jc w:val="both"/>
      </w:pPr>
      <w:r>
        <w:rPr>
          <w:rFonts w:ascii="Times New Roman"/>
          <w:b w:val="false"/>
          <w:i w:val="false"/>
          <w:color w:val="000000"/>
          <w:sz w:val="28"/>
        </w:rPr>
        <w:t>
      3. Настоящее Руководство содержит положения по обеспечению минимизации рисков контаминации лекарственных средств микроорганизмами (плесневыми и дрожжевыми грибами, спорообразующими и неспорообразующими бактериями), позволяет наилучшим образом обеспечить нужный уровень микробиологического мониторинга как одного из инструментов комплексной защиты лекарственных средств.</w:t>
      </w:r>
    </w:p>
    <w:bookmarkEnd w:id="6"/>
    <w:bookmarkStart w:name="z10" w:id="7"/>
    <w:p>
      <w:pPr>
        <w:spacing w:after="0"/>
        <w:ind w:left="0"/>
        <w:jc w:val="both"/>
      </w:pPr>
      <w:r>
        <w:rPr>
          <w:rFonts w:ascii="Times New Roman"/>
          <w:b w:val="false"/>
          <w:i w:val="false"/>
          <w:color w:val="000000"/>
          <w:sz w:val="28"/>
        </w:rPr>
        <w:t>
      4. Положения настоящего Руководства и параметры мониторинга для микробиологической оценки следует применять к чистым помещениям (зонам), оборудованию и персоналу, работающему в чистых помещениях (зонах).</w:t>
      </w:r>
    </w:p>
    <w:bookmarkEnd w:id="7"/>
    <w:bookmarkStart w:name="z11" w:id="8"/>
    <w:p>
      <w:pPr>
        <w:spacing w:after="0"/>
        <w:ind w:left="0"/>
        <w:jc w:val="both"/>
      </w:pPr>
      <w:r>
        <w:rPr>
          <w:rFonts w:ascii="Times New Roman"/>
          <w:b w:val="false"/>
          <w:i w:val="false"/>
          <w:color w:val="000000"/>
          <w:sz w:val="28"/>
        </w:rPr>
        <w:t>
      5. В настоящем Руководстве не рассматривается микробиологический мониторинг таких чистых сред, создающих условия для производства и (или) участвующих в процессе производства, как вода очищенная, вода для инъекций, сжатые газы, чистый пар и др.</w:t>
      </w:r>
    </w:p>
    <w:bookmarkEnd w:id="8"/>
    <w:bookmarkStart w:name="z12" w:id="9"/>
    <w:p>
      <w:pPr>
        <w:spacing w:after="0"/>
        <w:ind w:left="0"/>
        <w:jc w:val="left"/>
      </w:pPr>
      <w:r>
        <w:rPr>
          <w:rFonts w:ascii="Times New Roman"/>
          <w:b/>
          <w:i w:val="false"/>
          <w:color w:val="000000"/>
        </w:rPr>
        <w:t xml:space="preserve"> II. Определения</w:t>
      </w:r>
    </w:p>
    <w:bookmarkEnd w:id="9"/>
    <w:bookmarkStart w:name="z13" w:id="10"/>
    <w:p>
      <w:pPr>
        <w:spacing w:after="0"/>
        <w:ind w:left="0"/>
        <w:jc w:val="both"/>
      </w:pPr>
      <w:r>
        <w:rPr>
          <w:rFonts w:ascii="Times New Roman"/>
          <w:b w:val="false"/>
          <w:i w:val="false"/>
          <w:color w:val="000000"/>
          <w:sz w:val="28"/>
        </w:rPr>
        <w:t>
      6. Для целей настоящего Руководства используются понятия, которые означают следующее:</w:t>
      </w:r>
    </w:p>
    <w:bookmarkEnd w:id="10"/>
    <w:bookmarkStart w:name="z14" w:id="11"/>
    <w:p>
      <w:pPr>
        <w:spacing w:after="0"/>
        <w:ind w:left="0"/>
        <w:jc w:val="both"/>
      </w:pPr>
      <w:r>
        <w:rPr>
          <w:rFonts w:ascii="Times New Roman"/>
          <w:b w:val="false"/>
          <w:i w:val="false"/>
          <w:color w:val="000000"/>
          <w:sz w:val="28"/>
        </w:rPr>
        <w:t>
      "биозагрязнения" – загрязнение материалов, изделий, людей, поверхностей, жидкостей, газов или воздуха жизнеспособными частицами;</w:t>
      </w:r>
    </w:p>
    <w:bookmarkEnd w:id="11"/>
    <w:bookmarkStart w:name="z15" w:id="12"/>
    <w:p>
      <w:pPr>
        <w:spacing w:after="0"/>
        <w:ind w:left="0"/>
        <w:jc w:val="both"/>
      </w:pPr>
      <w:r>
        <w:rPr>
          <w:rFonts w:ascii="Times New Roman"/>
          <w:b w:val="false"/>
          <w:i w:val="false"/>
          <w:color w:val="000000"/>
          <w:sz w:val="28"/>
        </w:rPr>
        <w:t>
      "и</w:t>
      </w:r>
      <w:r>
        <w:rPr>
          <w:rFonts w:ascii="Times New Roman"/>
          <w:b w:val="false"/>
          <w:i/>
          <w:color w:val="000000"/>
          <w:sz w:val="28"/>
        </w:rPr>
        <w:t>дентификация микроорганизмов</w:t>
      </w:r>
      <w:r>
        <w:rPr>
          <w:rFonts w:ascii="Times New Roman"/>
          <w:b w:val="false"/>
          <w:i w:val="false"/>
          <w:color w:val="000000"/>
          <w:sz w:val="28"/>
        </w:rPr>
        <w:t xml:space="preserve"> – определение принадлежности отдельных популяций микроорганизмов к виду, роду, семейству на основе изучения культуральных, морфологических, тинкториальных, биохимических и других свойств;</w:t>
      </w:r>
    </w:p>
    <w:bookmarkEnd w:id="12"/>
    <w:bookmarkStart w:name="z16" w:id="13"/>
    <w:p>
      <w:pPr>
        <w:spacing w:after="0"/>
        <w:ind w:left="0"/>
        <w:jc w:val="both"/>
      </w:pPr>
      <w:r>
        <w:rPr>
          <w:rFonts w:ascii="Times New Roman"/>
          <w:b w:val="false"/>
          <w:i w:val="false"/>
          <w:color w:val="000000"/>
          <w:sz w:val="28"/>
        </w:rPr>
        <w:t>
      "локальные изоляты" – соответствующие репрезентативные микроорганизмы на производственной площадке, которые часто выявляют при осуществлении микробиологического мониторинга производственной среды;</w:t>
      </w:r>
    </w:p>
    <w:bookmarkEnd w:id="13"/>
    <w:bookmarkStart w:name="z17" w:id="14"/>
    <w:p>
      <w:pPr>
        <w:spacing w:after="0"/>
        <w:ind w:left="0"/>
        <w:jc w:val="both"/>
      </w:pPr>
      <w:r>
        <w:rPr>
          <w:rFonts w:ascii="Times New Roman"/>
          <w:b w:val="false"/>
          <w:i w:val="false"/>
          <w:color w:val="000000"/>
          <w:sz w:val="28"/>
        </w:rPr>
        <w:t>
      "мониторинг производственной среды" – наблюдение за состоянием объектов производственной среды (помещения, оборудование, воздух рабочей зоны, технологические среды, персонал) для определения и (или) предсказания момента перехода в предельное состояние на основе сравнения измеренных параметров с заданными значениями;</w:t>
      </w:r>
    </w:p>
    <w:bookmarkEnd w:id="14"/>
    <w:bookmarkStart w:name="z18" w:id="15"/>
    <w:p>
      <w:pPr>
        <w:spacing w:after="0"/>
        <w:ind w:left="0"/>
        <w:jc w:val="both"/>
      </w:pPr>
      <w:r>
        <w:rPr>
          <w:rFonts w:ascii="Times New Roman"/>
          <w:b w:val="false"/>
          <w:i w:val="false"/>
          <w:color w:val="000000"/>
          <w:sz w:val="28"/>
        </w:rPr>
        <w:t>
      "неблагоприятная тенденция" – увеличение частоты отклонений от уровня тревоги либо от уровня действия, или повторное обнаружение низких концентраций микроорганизмов ниже уровня предупреждения во время микробиологического мониторинга, или несоответствие фармацевтического компонента или готовой продукции, что свидетельствует о потере контроля над процессом;</w:t>
      </w:r>
    </w:p>
    <w:bookmarkEnd w:id="15"/>
    <w:bookmarkStart w:name="z19" w:id="16"/>
    <w:p>
      <w:pPr>
        <w:spacing w:after="0"/>
        <w:ind w:left="0"/>
        <w:jc w:val="both"/>
      </w:pPr>
      <w:r>
        <w:rPr>
          <w:rFonts w:ascii="Times New Roman"/>
          <w:b w:val="false"/>
          <w:i w:val="false"/>
          <w:color w:val="000000"/>
          <w:sz w:val="28"/>
        </w:rPr>
        <w:t>
      "оснащенное состояние (состояния покоя)" – состояние, при котором монтаж всех установок завершен, включая работающую систему отопления, вентиляции и кондиционирования воздуха, вместе с установленным основным производственным оборудованием, готовым к эксплуатации, но не работающим и без присутствия персонала в помещении;</w:t>
      </w:r>
    </w:p>
    <w:bookmarkEnd w:id="16"/>
    <w:bookmarkStart w:name="z20" w:id="17"/>
    <w:p>
      <w:pPr>
        <w:spacing w:after="0"/>
        <w:ind w:left="0"/>
        <w:jc w:val="both"/>
      </w:pPr>
      <w:r>
        <w:rPr>
          <w:rFonts w:ascii="Times New Roman"/>
          <w:b w:val="false"/>
          <w:i w:val="false"/>
          <w:color w:val="000000"/>
          <w:sz w:val="28"/>
        </w:rPr>
        <w:t>
      "план отбора проб" – документально оформленный план, описывающий процедуры и методы отбора проб в контролируемых условиях среды, в котором определены место, частота и количество отбираемых проб;</w:t>
      </w:r>
    </w:p>
    <w:bookmarkEnd w:id="17"/>
    <w:bookmarkStart w:name="z21" w:id="18"/>
    <w:p>
      <w:pPr>
        <w:spacing w:after="0"/>
        <w:ind w:left="0"/>
        <w:jc w:val="both"/>
      </w:pPr>
      <w:r>
        <w:rPr>
          <w:rFonts w:ascii="Times New Roman"/>
          <w:b w:val="false"/>
          <w:i w:val="false"/>
          <w:color w:val="000000"/>
          <w:sz w:val="28"/>
        </w:rPr>
        <w:t>
      "предел действия" – установленная релевантная величина (например, пределы по содержанию микроорганизмов или частиц в воздухе), в случае превышения которой должны быть инициированы соответствующее расследование и корректирующие действия на основе результатов этого расследования;</w:t>
      </w:r>
    </w:p>
    <w:bookmarkEnd w:id="18"/>
    <w:bookmarkStart w:name="z22" w:id="19"/>
    <w:p>
      <w:pPr>
        <w:spacing w:after="0"/>
        <w:ind w:left="0"/>
        <w:jc w:val="both"/>
      </w:pPr>
      <w:r>
        <w:rPr>
          <w:rFonts w:ascii="Times New Roman"/>
          <w:b w:val="false"/>
          <w:i w:val="false"/>
          <w:color w:val="000000"/>
          <w:sz w:val="28"/>
        </w:rPr>
        <w:t>
      "программа мониторинга производственной среды" – документально оформленная программа, содержащая правила текущего мониторинга производственной среды по всем контролируемым параметрам и включающая в себя план мероприятий при превышении результатов контроля уровня действия;</w:t>
      </w:r>
    </w:p>
    <w:bookmarkEnd w:id="19"/>
    <w:bookmarkStart w:name="z23" w:id="20"/>
    <w:p>
      <w:pPr>
        <w:spacing w:after="0"/>
        <w:ind w:left="0"/>
        <w:jc w:val="both"/>
      </w:pPr>
      <w:r>
        <w:rPr>
          <w:rFonts w:ascii="Times New Roman"/>
          <w:b w:val="false"/>
          <w:i w:val="false"/>
          <w:color w:val="000000"/>
          <w:sz w:val="28"/>
        </w:rPr>
        <w:t>
      "стратегия контроля контаминации" (contamination control strategy (CCS)) – заранее спланированный комплекс мероприятий контроля микроорганизмов, эндотоксинов (пирогенов) и частиц, разработанный на основе имеющихся знаний в отношении продукта и процесса, который обеспечивает эффективность процесса и качество продукта. Контрольные мероприятия могут включать в себя параметры и характеристики, относящиеся к активной фармацевтической субстанции, вспомогательным веществам и компонентам продукта, рабочие условия производственных мощностей и оборудования, мероприятия внутрипроизводственного контроля, спецификации готового продукта, связанные с ними методики, а также частоту проведения мониторинга и контроля;</w:t>
      </w:r>
    </w:p>
    <w:bookmarkEnd w:id="20"/>
    <w:bookmarkStart w:name="z24" w:id="21"/>
    <w:p>
      <w:pPr>
        <w:spacing w:after="0"/>
        <w:ind w:left="0"/>
        <w:jc w:val="both"/>
      </w:pPr>
      <w:r>
        <w:rPr>
          <w:rFonts w:ascii="Times New Roman"/>
          <w:b w:val="false"/>
          <w:i w:val="false"/>
          <w:color w:val="000000"/>
          <w:sz w:val="28"/>
        </w:rPr>
        <w:t>
      "точка контроля" – точка в чистом помещении, в которой выполняется контроль биозагрязнений и в которой опасность может быть предупреждена, устранена или снижена до допустимого уровня;</w:t>
      </w:r>
    </w:p>
    <w:bookmarkEnd w:id="21"/>
    <w:bookmarkStart w:name="z25" w:id="22"/>
    <w:p>
      <w:pPr>
        <w:spacing w:after="0"/>
        <w:ind w:left="0"/>
        <w:jc w:val="both"/>
      </w:pPr>
      <w:r>
        <w:rPr>
          <w:rFonts w:ascii="Times New Roman"/>
          <w:b w:val="false"/>
          <w:i w:val="false"/>
          <w:color w:val="000000"/>
          <w:sz w:val="28"/>
        </w:rPr>
        <w:t>
      "уровень тревоги" – установленная релевантная величина (например, уровни содержания микроорганизмов или частиц в воздухе), предоставляющая возможность раннего предупреждения о потенциальном отклонении от обычных рабочих условий и валидированного состояния, но при этом является основанием для выполнения корректирующих действий, однако инициирует проведение детального анализа и последующих действий, необходимых для определения потенциальной проблемы. Уровни тревоги устанавливаются на основании имеющихся предшествующих данных и сведений по трендам квалификации и периодически пересматриваются. Уровень тревоги может основываться на ряде параметров, включая нетипичные тренды, отдельные отклонения сверх установленного предела, а также повторяющиеся события;</w:t>
      </w:r>
    </w:p>
    <w:bookmarkEnd w:id="22"/>
    <w:bookmarkStart w:name="z26" w:id="23"/>
    <w:p>
      <w:pPr>
        <w:spacing w:after="0"/>
        <w:ind w:left="0"/>
        <w:jc w:val="both"/>
      </w:pPr>
      <w:r>
        <w:rPr>
          <w:rFonts w:ascii="Times New Roman"/>
          <w:b w:val="false"/>
          <w:i w:val="false"/>
          <w:color w:val="000000"/>
          <w:sz w:val="28"/>
        </w:rPr>
        <w:t>
      "чистая зона"</w:t>
      </w:r>
      <w:r>
        <w:rPr>
          <w:rFonts w:ascii="Times New Roman"/>
          <w:b w:val="false"/>
          <w:i/>
          <w:color w:val="000000"/>
          <w:sz w:val="28"/>
        </w:rPr>
        <w:t xml:space="preserve"> – </w:t>
      </w:r>
      <w:r>
        <w:rPr>
          <w:rFonts w:ascii="Times New Roman"/>
          <w:b w:val="false"/>
          <w:i w:val="false"/>
          <w:color w:val="000000"/>
          <w:sz w:val="28"/>
        </w:rPr>
        <w:t>зона с определенными стандартами по чистоте в отношении частиц и микроорганизмов, обычно содержащая несколько объединенных чистых помещений;</w:t>
      </w:r>
    </w:p>
    <w:bookmarkEnd w:id="23"/>
    <w:bookmarkStart w:name="z27" w:id="24"/>
    <w:p>
      <w:pPr>
        <w:spacing w:after="0"/>
        <w:ind w:left="0"/>
        <w:jc w:val="both"/>
      </w:pPr>
      <w:r>
        <w:rPr>
          <w:rFonts w:ascii="Times New Roman"/>
          <w:b w:val="false"/>
          <w:i w:val="false"/>
          <w:color w:val="000000"/>
          <w:sz w:val="28"/>
        </w:rPr>
        <w:t>
      "чистое помещение" – помещение, спроектированное, обслуживаемое и контролируемое таким образом, чтобы предотвратить контаминацию лекарственных средств частицами и микроорганизмами. Под классом А понимается зона класса А;</w:t>
      </w:r>
    </w:p>
    <w:bookmarkEnd w:id="24"/>
    <w:bookmarkStart w:name="z28" w:id="25"/>
    <w:p>
      <w:pPr>
        <w:spacing w:after="0"/>
        <w:ind w:left="0"/>
        <w:jc w:val="both"/>
      </w:pPr>
      <w:r>
        <w:rPr>
          <w:rFonts w:ascii="Times New Roman"/>
          <w:b w:val="false"/>
          <w:i w:val="false"/>
          <w:color w:val="000000"/>
          <w:sz w:val="28"/>
        </w:rPr>
        <w:t>
      "эксплуатируемое (функционирующее) состояние" – состояние, при котором монтаж чистого помещения завершен, системы отопления, вентиляции и кондиционирования воздуха являются полностью работоспособными, оборудование установлено и функционирует в определенном производителем рабочем режиме с максимальным количеством присутствующего персонала, осуществляющего или имитирующего рутинную производственную деятельность.</w:t>
      </w:r>
    </w:p>
    <w:bookmarkEnd w:id="25"/>
    <w:bookmarkStart w:name="z29" w:id="26"/>
    <w:p>
      <w:pPr>
        <w:spacing w:after="0"/>
        <w:ind w:left="0"/>
        <w:jc w:val="left"/>
      </w:pPr>
      <w:r>
        <w:rPr>
          <w:rFonts w:ascii="Times New Roman"/>
          <w:b/>
          <w:i w:val="false"/>
          <w:color w:val="000000"/>
        </w:rPr>
        <w:t xml:space="preserve"> III. Общие положения</w:t>
      </w:r>
    </w:p>
    <w:bookmarkEnd w:id="26"/>
    <w:bookmarkStart w:name="z30" w:id="27"/>
    <w:p>
      <w:pPr>
        <w:spacing w:after="0"/>
        <w:ind w:left="0"/>
        <w:jc w:val="left"/>
      </w:pPr>
      <w:r>
        <w:rPr>
          <w:rFonts w:ascii="Times New Roman"/>
          <w:b/>
          <w:i w:val="false"/>
          <w:color w:val="000000"/>
        </w:rPr>
        <w:t xml:space="preserve"> 1. Стратегия контроля контаминации</w:t>
      </w:r>
    </w:p>
    <w:bookmarkEnd w:id="27"/>
    <w:bookmarkStart w:name="z31" w:id="28"/>
    <w:p>
      <w:pPr>
        <w:spacing w:after="0"/>
        <w:ind w:left="0"/>
        <w:jc w:val="both"/>
      </w:pPr>
      <w:r>
        <w:rPr>
          <w:rFonts w:ascii="Times New Roman"/>
          <w:b w:val="false"/>
          <w:i w:val="false"/>
          <w:color w:val="000000"/>
          <w:sz w:val="28"/>
        </w:rPr>
        <w:t xml:space="preserve">
      7. Стратегию контроля контаминации (ССS) следует применять на производственной площадке для определения критических точек контроля и оценки эффективности осуществляемых контрольных мероприятий (проектных, процедурных, технических и организационных), а также мероприятий мониторинга, осуществляемых для управления рисками для качества и безопасности лекарственных средств. Комбинированная стратегия контроля контаминации должна способствовать созданию устойчивой гарантии предотвращения контаминации. Стратегия контроля контаминации (CCS) должна активно анализироваться и в случае необходимости обновляться, а также способствовать постоянному улучшению методов производства и контроля. Ее эффективность должна рассматриваться в рамках периодического обзора со стороны руководства. </w:t>
      </w:r>
    </w:p>
    <w:bookmarkEnd w:id="28"/>
    <w:bookmarkStart w:name="z32" w:id="29"/>
    <w:p>
      <w:pPr>
        <w:spacing w:after="0"/>
        <w:ind w:left="0"/>
        <w:jc w:val="both"/>
      </w:pPr>
      <w:r>
        <w:rPr>
          <w:rFonts w:ascii="Times New Roman"/>
          <w:b w:val="false"/>
          <w:i w:val="false"/>
          <w:color w:val="000000"/>
          <w:sz w:val="28"/>
        </w:rPr>
        <w:t xml:space="preserve">
      8. Требования к производству стерильных лекарственных средств, предусмотренные приложением № 1 к Правилам надлежащей производственной практики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(далее – приложение № 1 к Правилам производственной практики) (например, стратегия контроля контаминации, проектирование помещений, классификация чистых помещений, квалификация, валидация, мониторинг, технологическая одежда и ее использование), допускается использовать при производстве других видов продуктов, не являющихся стерильными (например, определенные жидкие лекарственные формы, кремы, мази и биологические промежуточные продукты с низкой бионагрузкой), но для которых важными считаются контроль и снижение контаминации микроорганизмами, частицами и эндотоксинами (пирогенами). Если производитель нестерильной продукции делает выбор в пользу использования требований,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Правилам производственной практики, ему следует четко задокументировать, какие принципы использовались, а также продемонстрировать соответствие этим принципам. </w:t>
      </w:r>
    </w:p>
    <w:bookmarkEnd w:id="29"/>
    <w:bookmarkStart w:name="z33" w:id="30"/>
    <w:p>
      <w:pPr>
        <w:spacing w:after="0"/>
        <w:ind w:left="0"/>
        <w:jc w:val="both"/>
      </w:pPr>
      <w:r>
        <w:rPr>
          <w:rFonts w:ascii="Times New Roman"/>
          <w:b w:val="false"/>
          <w:i w:val="false"/>
          <w:color w:val="000000"/>
          <w:sz w:val="28"/>
        </w:rPr>
        <w:t>
      9. Внедрение стратегии контроля контаминации на предприятии осуществляется в соответствии с блок-схемой согласно приложению № 1.</w:t>
      </w:r>
    </w:p>
    <w:bookmarkEnd w:id="30"/>
    <w:bookmarkStart w:name="z34" w:id="31"/>
    <w:p>
      <w:pPr>
        <w:spacing w:after="0"/>
        <w:ind w:left="0"/>
        <w:jc w:val="left"/>
      </w:pPr>
      <w:r>
        <w:rPr>
          <w:rFonts w:ascii="Times New Roman"/>
          <w:b/>
          <w:i w:val="false"/>
          <w:color w:val="000000"/>
        </w:rPr>
        <w:t xml:space="preserve"> 2. Микробиологический мониторинг производственной среды</w:t>
      </w:r>
    </w:p>
    <w:bookmarkEnd w:id="31"/>
    <w:bookmarkStart w:name="z35" w:id="32"/>
    <w:p>
      <w:pPr>
        <w:spacing w:after="0"/>
        <w:ind w:left="0"/>
        <w:jc w:val="both"/>
      </w:pPr>
      <w:r>
        <w:rPr>
          <w:rFonts w:ascii="Times New Roman"/>
          <w:b w:val="false"/>
          <w:i w:val="false"/>
          <w:color w:val="000000"/>
          <w:sz w:val="28"/>
        </w:rPr>
        <w:t xml:space="preserve">
      10. Микробиологический мониторинг производственной среды (далее – мониторинг) предоставляет производителю ключевую информацию о соответствии условий производства установленным уровням микробной контаминации и позволяет предотвратить выпуск потенциально загрязненных лекарственных средств, а также предупредить возможность микробной контаминации в будущем за счет проведения анализа полученных данных и выявления неблагоприятных тенденций. </w:t>
      </w:r>
    </w:p>
    <w:bookmarkEnd w:id="32"/>
    <w:bookmarkStart w:name="z36" w:id="33"/>
    <w:p>
      <w:pPr>
        <w:spacing w:after="0"/>
        <w:ind w:left="0"/>
        <w:jc w:val="both"/>
      </w:pPr>
      <w:r>
        <w:rPr>
          <w:rFonts w:ascii="Times New Roman"/>
          <w:b w:val="false"/>
          <w:i w:val="false"/>
          <w:color w:val="000000"/>
          <w:sz w:val="28"/>
        </w:rPr>
        <w:t>
      11. При построении системы мониторинга следует применять принципы управления рисками для качества.</w:t>
      </w:r>
    </w:p>
    <w:bookmarkEnd w:id="33"/>
    <w:bookmarkStart w:name="z37" w:id="34"/>
    <w:p>
      <w:pPr>
        <w:spacing w:after="0"/>
        <w:ind w:left="0"/>
        <w:jc w:val="both"/>
      </w:pPr>
      <w:r>
        <w:rPr>
          <w:rFonts w:ascii="Times New Roman"/>
          <w:b w:val="false"/>
          <w:i w:val="false"/>
          <w:color w:val="000000"/>
          <w:sz w:val="28"/>
        </w:rPr>
        <w:t xml:space="preserve">
      12. Мониторинг должен быть достаточным, обоснованным и регулярным, что обеспечивает предоставление необходимой информации для демонстрации стабильности условий производственной среды в рамках установленных параметров, оценки эффективности процедур очистки и дезинфекции, а также для обнаружения изменений в типах микробиологической флоры (например, возникновение организмов, резистентных к применяемым режимам дезинфекции). </w:t>
      </w:r>
    </w:p>
    <w:bookmarkEnd w:id="34"/>
    <w:bookmarkStart w:name="z38" w:id="35"/>
    <w:p>
      <w:pPr>
        <w:spacing w:after="0"/>
        <w:ind w:left="0"/>
        <w:jc w:val="both"/>
      </w:pPr>
      <w:r>
        <w:rPr>
          <w:rFonts w:ascii="Times New Roman"/>
          <w:b w:val="false"/>
          <w:i w:val="false"/>
          <w:color w:val="000000"/>
          <w:sz w:val="28"/>
        </w:rPr>
        <w:t xml:space="preserve">
      13. Для асептических процессов мониторинг следует проводить таким образом, который позволяет охватывать все вмешательства, временные эпизоды или любые эпизоды ухудшения (порчи) системы, а также избегать любых рисков, обусловленных вмешательством при осуществлении действий по мониторингу. </w:t>
      </w:r>
    </w:p>
    <w:bookmarkEnd w:id="35"/>
    <w:bookmarkStart w:name="z39" w:id="36"/>
    <w:p>
      <w:pPr>
        <w:spacing w:after="0"/>
        <w:ind w:left="0"/>
        <w:jc w:val="both"/>
      </w:pPr>
      <w:r>
        <w:rPr>
          <w:rFonts w:ascii="Times New Roman"/>
          <w:b w:val="false"/>
          <w:i w:val="false"/>
          <w:color w:val="000000"/>
          <w:sz w:val="28"/>
        </w:rPr>
        <w:t xml:space="preserve">
      14. При выявлении отклонения от установленных параметров следует провести расследования в соответствии с утвержденной процедурой производителя. </w:t>
      </w:r>
    </w:p>
    <w:bookmarkEnd w:id="36"/>
    <w:bookmarkStart w:name="z40" w:id="37"/>
    <w:p>
      <w:pPr>
        <w:spacing w:after="0"/>
        <w:ind w:left="0"/>
        <w:jc w:val="both"/>
      </w:pPr>
      <w:r>
        <w:rPr>
          <w:rFonts w:ascii="Times New Roman"/>
          <w:b w:val="false"/>
          <w:i w:val="false"/>
          <w:color w:val="000000"/>
          <w:sz w:val="28"/>
        </w:rPr>
        <w:t>
      15. Расследование должно быть достаточно полным для установления корневой причины и выработки необходимых корректирующих и предупреждающих действий (CAPA). Расследование, как минимум, включает в себя следующие действия:</w:t>
      </w:r>
    </w:p>
    <w:bookmarkEnd w:id="37"/>
    <w:bookmarkStart w:name="z41" w:id="38"/>
    <w:p>
      <w:pPr>
        <w:spacing w:after="0"/>
        <w:ind w:left="0"/>
        <w:jc w:val="both"/>
      </w:pPr>
      <w:r>
        <w:rPr>
          <w:rFonts w:ascii="Times New Roman"/>
          <w:b w:val="false"/>
          <w:i w:val="false"/>
          <w:color w:val="000000"/>
          <w:sz w:val="28"/>
        </w:rPr>
        <w:t xml:space="preserve">
      а) обзор документации и записей по техническому обслуживанию, очистке и дезинфекции помещений (зон, оборудования); </w:t>
      </w:r>
    </w:p>
    <w:bookmarkEnd w:id="38"/>
    <w:bookmarkStart w:name="z42" w:id="39"/>
    <w:p>
      <w:pPr>
        <w:spacing w:after="0"/>
        <w:ind w:left="0"/>
        <w:jc w:val="both"/>
      </w:pPr>
      <w:r>
        <w:rPr>
          <w:rFonts w:ascii="Times New Roman"/>
          <w:b w:val="false"/>
          <w:i w:val="false"/>
          <w:color w:val="000000"/>
          <w:sz w:val="28"/>
        </w:rPr>
        <w:t xml:space="preserve">
      б) оценка возникновения внештатных событий; </w:t>
      </w:r>
    </w:p>
    <w:bookmarkEnd w:id="39"/>
    <w:bookmarkStart w:name="z43" w:id="40"/>
    <w:p>
      <w:pPr>
        <w:spacing w:after="0"/>
        <w:ind w:left="0"/>
        <w:jc w:val="both"/>
      </w:pPr>
      <w:r>
        <w:rPr>
          <w:rFonts w:ascii="Times New Roman"/>
          <w:b w:val="false"/>
          <w:i w:val="false"/>
          <w:color w:val="000000"/>
          <w:sz w:val="28"/>
        </w:rPr>
        <w:t>
      в) оценка влияния физических или эксплуатационных параметров (например, изменение температуры среды и (или) относительной влажности);</w:t>
      </w:r>
    </w:p>
    <w:bookmarkEnd w:id="40"/>
    <w:bookmarkStart w:name="z44" w:id="41"/>
    <w:p>
      <w:pPr>
        <w:spacing w:after="0"/>
        <w:ind w:left="0"/>
        <w:jc w:val="both"/>
      </w:pPr>
      <w:r>
        <w:rPr>
          <w:rFonts w:ascii="Times New Roman"/>
          <w:b w:val="false"/>
          <w:i w:val="false"/>
          <w:color w:val="000000"/>
          <w:sz w:val="28"/>
        </w:rPr>
        <w:t>
      г) оценка статуса обучения персонала;</w:t>
      </w:r>
    </w:p>
    <w:bookmarkEnd w:id="41"/>
    <w:bookmarkStart w:name="z45" w:id="42"/>
    <w:p>
      <w:pPr>
        <w:spacing w:after="0"/>
        <w:ind w:left="0"/>
        <w:jc w:val="both"/>
      </w:pPr>
      <w:r>
        <w:rPr>
          <w:rFonts w:ascii="Times New Roman"/>
          <w:b w:val="false"/>
          <w:i w:val="false"/>
          <w:color w:val="000000"/>
          <w:sz w:val="28"/>
        </w:rPr>
        <w:t xml:space="preserve">
      д) оценка эффективности применяемых дезинфицирующих средств и др. </w:t>
      </w:r>
    </w:p>
    <w:bookmarkEnd w:id="42"/>
    <w:bookmarkStart w:name="z46" w:id="43"/>
    <w:p>
      <w:pPr>
        <w:spacing w:after="0"/>
        <w:ind w:left="0"/>
        <w:jc w:val="both"/>
      </w:pPr>
      <w:r>
        <w:rPr>
          <w:rFonts w:ascii="Times New Roman"/>
          <w:b w:val="false"/>
          <w:i w:val="false"/>
          <w:color w:val="000000"/>
          <w:sz w:val="28"/>
        </w:rPr>
        <w:t>
      16. Глубина расследования зависит от классификации отклонения (возможен разный подход при отклонении от тренда или превышении установленного максимального предела действия). В расследование следует включить оценку влияния на продукт, производимый в период идентификации отклонения (или период его возможного появления). По итогам расследования следует предпринять действия по исправлению или устранению наиболее вероятных причин микробной контаминации, а также действия, направленные на предупреждение возникновения подобных отклонений в будущем (CAPA). Производителю следует разработать и внедрить процедуры по проверке эффективности принятых корректирующих и предупреждающих действий (с определением их сроков, критериев).</w:t>
      </w:r>
    </w:p>
    <w:bookmarkEnd w:id="43"/>
    <w:bookmarkStart w:name="z47" w:id="44"/>
    <w:p>
      <w:pPr>
        <w:spacing w:after="0"/>
        <w:ind w:left="0"/>
        <w:jc w:val="both"/>
      </w:pPr>
      <w:r>
        <w:rPr>
          <w:rFonts w:ascii="Times New Roman"/>
          <w:b w:val="false"/>
          <w:i w:val="false"/>
          <w:color w:val="000000"/>
          <w:sz w:val="28"/>
        </w:rPr>
        <w:t xml:space="preserve">
      17. Кроме изменения в уровне микробной контаминации объектов производственной среды, на изменения контролируемых условий может указывать то, как часто обнаруживается достижение уровней тревоги и уровней действия. </w:t>
      </w:r>
    </w:p>
    <w:bookmarkEnd w:id="44"/>
    <w:bookmarkStart w:name="z48" w:id="45"/>
    <w:p>
      <w:pPr>
        <w:spacing w:after="0"/>
        <w:ind w:left="0"/>
        <w:jc w:val="both"/>
      </w:pPr>
      <w:r>
        <w:rPr>
          <w:rFonts w:ascii="Times New Roman"/>
          <w:b w:val="false"/>
          <w:i w:val="false"/>
          <w:color w:val="000000"/>
          <w:sz w:val="28"/>
        </w:rPr>
        <w:t xml:space="preserve">
      18. Общее количество и виды выделяемых из производственной среды микроорганизмов (бактерий и грибов) зависят от множества факторов, включая географические и климатические условия. </w:t>
      </w:r>
    </w:p>
    <w:bookmarkEnd w:id="45"/>
    <w:bookmarkStart w:name="z49" w:id="46"/>
    <w:p>
      <w:pPr>
        <w:spacing w:after="0"/>
        <w:ind w:left="0"/>
        <w:jc w:val="both"/>
      </w:pPr>
      <w:r>
        <w:rPr>
          <w:rFonts w:ascii="Times New Roman"/>
          <w:b w:val="false"/>
          <w:i w:val="false"/>
          <w:color w:val="000000"/>
          <w:sz w:val="28"/>
        </w:rPr>
        <w:t>
      19. Пути проникновения микроорганизмов в чистые помещения (зоны) многообразны. Среди них можно выделить следующие:</w:t>
      </w:r>
    </w:p>
    <w:bookmarkEnd w:id="46"/>
    <w:bookmarkStart w:name="z50" w:id="47"/>
    <w:p>
      <w:pPr>
        <w:spacing w:after="0"/>
        <w:ind w:left="0"/>
        <w:jc w:val="both"/>
      </w:pPr>
      <w:r>
        <w:rPr>
          <w:rFonts w:ascii="Times New Roman"/>
          <w:b w:val="false"/>
          <w:i w:val="false"/>
          <w:color w:val="000000"/>
          <w:sz w:val="28"/>
        </w:rPr>
        <w:t>
      а) персонал (является наиболее частым источником микробной контаминации);</w:t>
      </w:r>
    </w:p>
    <w:bookmarkEnd w:id="47"/>
    <w:bookmarkStart w:name="z51" w:id="48"/>
    <w:p>
      <w:pPr>
        <w:spacing w:after="0"/>
        <w:ind w:left="0"/>
        <w:jc w:val="both"/>
      </w:pPr>
      <w:r>
        <w:rPr>
          <w:rFonts w:ascii="Times New Roman"/>
          <w:b w:val="false"/>
          <w:i w:val="false"/>
          <w:color w:val="000000"/>
          <w:sz w:val="28"/>
        </w:rPr>
        <w:t>
      б) воздух производственных помещений;</w:t>
      </w:r>
    </w:p>
    <w:bookmarkEnd w:id="48"/>
    <w:bookmarkStart w:name="z52" w:id="49"/>
    <w:p>
      <w:pPr>
        <w:spacing w:after="0"/>
        <w:ind w:left="0"/>
        <w:jc w:val="both"/>
      </w:pPr>
      <w:r>
        <w:rPr>
          <w:rFonts w:ascii="Times New Roman"/>
          <w:b w:val="false"/>
          <w:i w:val="false"/>
          <w:color w:val="000000"/>
          <w:sz w:val="28"/>
        </w:rPr>
        <w:t>
      в) вода и газы, используемые в производстве;</w:t>
      </w:r>
    </w:p>
    <w:bookmarkEnd w:id="49"/>
    <w:bookmarkStart w:name="z53" w:id="50"/>
    <w:p>
      <w:pPr>
        <w:spacing w:after="0"/>
        <w:ind w:left="0"/>
        <w:jc w:val="both"/>
      </w:pPr>
      <w:r>
        <w:rPr>
          <w:rFonts w:ascii="Times New Roman"/>
          <w:b w:val="false"/>
          <w:i w:val="false"/>
          <w:color w:val="000000"/>
          <w:sz w:val="28"/>
        </w:rPr>
        <w:t>
      г) сырье (характер контаминации зависит от природы, условий хранения и переработки сырья);</w:t>
      </w:r>
    </w:p>
    <w:bookmarkEnd w:id="50"/>
    <w:bookmarkStart w:name="z54" w:id="51"/>
    <w:p>
      <w:pPr>
        <w:spacing w:after="0"/>
        <w:ind w:left="0"/>
        <w:jc w:val="both"/>
      </w:pPr>
      <w:r>
        <w:rPr>
          <w:rFonts w:ascii="Times New Roman"/>
          <w:b w:val="false"/>
          <w:i w:val="false"/>
          <w:color w:val="000000"/>
          <w:sz w:val="28"/>
        </w:rPr>
        <w:t>
      д) упаковочные материалы;</w:t>
      </w:r>
    </w:p>
    <w:bookmarkEnd w:id="51"/>
    <w:bookmarkStart w:name="z55" w:id="52"/>
    <w:p>
      <w:pPr>
        <w:spacing w:after="0"/>
        <w:ind w:left="0"/>
        <w:jc w:val="both"/>
      </w:pPr>
      <w:r>
        <w:rPr>
          <w:rFonts w:ascii="Times New Roman"/>
          <w:b w:val="false"/>
          <w:i w:val="false"/>
          <w:color w:val="000000"/>
          <w:sz w:val="28"/>
        </w:rPr>
        <w:t>
      е) инструменты, технологическое оборудование, устройства связи, емкости, тележки, оборудование для очистки и дезинфекции и др.</w:t>
      </w:r>
    </w:p>
    <w:bookmarkEnd w:id="52"/>
    <w:bookmarkStart w:name="z56" w:id="53"/>
    <w:p>
      <w:pPr>
        <w:spacing w:after="0"/>
        <w:ind w:left="0"/>
        <w:jc w:val="both"/>
      </w:pPr>
      <w:r>
        <w:rPr>
          <w:rFonts w:ascii="Times New Roman"/>
          <w:b w:val="false"/>
          <w:i w:val="false"/>
          <w:color w:val="000000"/>
          <w:sz w:val="28"/>
        </w:rPr>
        <w:t xml:space="preserve">
      20. Сотрудников, осуществляющих отбор проб, следует обучить правилам отбора проб, требованиям по организации и проведению микробиологического контроля на производстве лекарственных средств. </w:t>
      </w:r>
    </w:p>
    <w:bookmarkEnd w:id="53"/>
    <w:bookmarkStart w:name="z57" w:id="54"/>
    <w:p>
      <w:pPr>
        <w:spacing w:after="0"/>
        <w:ind w:left="0"/>
        <w:jc w:val="both"/>
      </w:pPr>
      <w:r>
        <w:rPr>
          <w:rFonts w:ascii="Times New Roman"/>
          <w:b w:val="false"/>
          <w:i w:val="false"/>
          <w:color w:val="000000"/>
          <w:sz w:val="28"/>
        </w:rPr>
        <w:t>
      21. При организации мониторинга рекомендуется дополнительно учитывать следующие аспекты:</w:t>
      </w:r>
    </w:p>
    <w:bookmarkEnd w:id="54"/>
    <w:bookmarkStart w:name="z58" w:id="55"/>
    <w:p>
      <w:pPr>
        <w:spacing w:after="0"/>
        <w:ind w:left="0"/>
        <w:jc w:val="both"/>
      </w:pPr>
      <w:r>
        <w:rPr>
          <w:rFonts w:ascii="Times New Roman"/>
          <w:b w:val="false"/>
          <w:i w:val="false"/>
          <w:color w:val="000000"/>
          <w:sz w:val="28"/>
        </w:rPr>
        <w:t xml:space="preserve">
      а) выявляемые при контроле производственной среды микроорганизмы могут находиться в поврежденном состоянии, вызванном стрессовыми условиями, и, следовательно, могут трудно поддаваться восстановлению; </w:t>
      </w:r>
    </w:p>
    <w:bookmarkEnd w:id="55"/>
    <w:bookmarkStart w:name="z59" w:id="56"/>
    <w:p>
      <w:pPr>
        <w:spacing w:after="0"/>
        <w:ind w:left="0"/>
        <w:jc w:val="both"/>
      </w:pPr>
      <w:r>
        <w:rPr>
          <w:rFonts w:ascii="Times New Roman"/>
          <w:b w:val="false"/>
          <w:i w:val="false"/>
          <w:color w:val="000000"/>
          <w:sz w:val="28"/>
        </w:rPr>
        <w:t xml:space="preserve">
      б) из-за специфичности микробиологических проб вопросы проведения отбора, транспортировки, хранения следует очень тщательно проработать для предотвращения риска гибели (угнетения) или размножения микроорганизмов; </w:t>
      </w:r>
    </w:p>
    <w:bookmarkEnd w:id="56"/>
    <w:bookmarkStart w:name="z60" w:id="57"/>
    <w:p>
      <w:pPr>
        <w:spacing w:after="0"/>
        <w:ind w:left="0"/>
        <w:jc w:val="both"/>
      </w:pPr>
      <w:r>
        <w:rPr>
          <w:rFonts w:ascii="Times New Roman"/>
          <w:b w:val="false"/>
          <w:i w:val="false"/>
          <w:color w:val="000000"/>
          <w:sz w:val="28"/>
        </w:rPr>
        <w:t xml:space="preserve">
      в) на уровень обнаружения микроорганизмов может влиять множество факторов. Одинаковые объемы проб, отобранные с помощью разных методов и питательных сред, могут продемонстрировать разный уровень микробной контаминации; </w:t>
      </w:r>
    </w:p>
    <w:bookmarkEnd w:id="57"/>
    <w:bookmarkStart w:name="z61" w:id="58"/>
    <w:p>
      <w:pPr>
        <w:spacing w:after="0"/>
        <w:ind w:left="0"/>
        <w:jc w:val="both"/>
      </w:pPr>
      <w:r>
        <w:rPr>
          <w:rFonts w:ascii="Times New Roman"/>
          <w:b w:val="false"/>
          <w:i w:val="false"/>
          <w:color w:val="000000"/>
          <w:sz w:val="28"/>
        </w:rPr>
        <w:t xml:space="preserve">
      г) по результатам исследования установлено, что при мониторинге поверхностей степень извлечения микроорганизмов может составлять &lt; 50 %, даже при использовании относительно высоких уровней инокулята на стандартизированных чашках. В реальных производственных условиях, в которых микроорганизмы подвергаются различным уровням стрессового воздействия, степень извлечения может быть ниже; </w:t>
      </w:r>
    </w:p>
    <w:bookmarkEnd w:id="58"/>
    <w:bookmarkStart w:name="z62" w:id="59"/>
    <w:p>
      <w:pPr>
        <w:spacing w:after="0"/>
        <w:ind w:left="0"/>
        <w:jc w:val="both"/>
      </w:pPr>
      <w:r>
        <w:rPr>
          <w:rFonts w:ascii="Times New Roman"/>
          <w:b w:val="false"/>
          <w:i w:val="false"/>
          <w:color w:val="000000"/>
          <w:sz w:val="28"/>
        </w:rPr>
        <w:t xml:space="preserve">
      д) мониторинг не способен доказать отсутствие микробного загрязнения. Ложное ощущение безопасности не должно возникать из-за нечастого обнаружения микробной контаминации. Отсутствие роста колоний при испытании пробы может свидетельствовать о том, что рост не был обнаружен, так как полученный результат ниже предела обнаружения используемой аналитической системы. Но это не означает, что производственная среда абсолютно не содержит микробных загрязнений. </w:t>
      </w:r>
    </w:p>
    <w:bookmarkEnd w:id="59"/>
    <w:bookmarkStart w:name="z63" w:id="60"/>
    <w:p>
      <w:pPr>
        <w:spacing w:after="0"/>
        <w:ind w:left="0"/>
        <w:jc w:val="left"/>
      </w:pPr>
      <w:r>
        <w:rPr>
          <w:rFonts w:ascii="Times New Roman"/>
          <w:b/>
          <w:i w:val="false"/>
          <w:color w:val="000000"/>
        </w:rPr>
        <w:t xml:space="preserve"> 3. Программа микробиологического мониторинга производственной среды</w:t>
      </w:r>
    </w:p>
    <w:bookmarkEnd w:id="60"/>
    <w:bookmarkStart w:name="z64" w:id="61"/>
    <w:p>
      <w:pPr>
        <w:spacing w:after="0"/>
        <w:ind w:left="0"/>
        <w:jc w:val="both"/>
      </w:pPr>
      <w:r>
        <w:rPr>
          <w:rFonts w:ascii="Times New Roman"/>
          <w:b w:val="false"/>
          <w:i w:val="false"/>
          <w:color w:val="000000"/>
          <w:sz w:val="28"/>
        </w:rPr>
        <w:t>
      22. Производителю следует разработать программу микробиологического мониторинга производственной среды, определяющую объекты контроля и устанавливающую требования к порядку микробиологического контроля производства (далее – программа мониторинга).</w:t>
      </w:r>
    </w:p>
    <w:bookmarkEnd w:id="61"/>
    <w:bookmarkStart w:name="z65" w:id="62"/>
    <w:p>
      <w:pPr>
        <w:spacing w:after="0"/>
        <w:ind w:left="0"/>
        <w:jc w:val="both"/>
      </w:pPr>
      <w:r>
        <w:rPr>
          <w:rFonts w:ascii="Times New Roman"/>
          <w:b w:val="false"/>
          <w:i w:val="false"/>
          <w:color w:val="000000"/>
          <w:sz w:val="28"/>
        </w:rPr>
        <w:t>
      23. Программа мониторинга разрабатывается в соответствии с принципами управления рисками для качества на основании результатов квалификации чистых помещений (зон) и валидации очистки оборудования (далее – квалификация (валидация)) и включает в себя:</w:t>
      </w:r>
    </w:p>
    <w:bookmarkEnd w:id="62"/>
    <w:bookmarkStart w:name="z66" w:id="63"/>
    <w:p>
      <w:pPr>
        <w:spacing w:after="0"/>
        <w:ind w:left="0"/>
        <w:jc w:val="both"/>
      </w:pPr>
      <w:r>
        <w:rPr>
          <w:rFonts w:ascii="Times New Roman"/>
          <w:b w:val="false"/>
          <w:i w:val="false"/>
          <w:color w:val="000000"/>
          <w:sz w:val="28"/>
        </w:rPr>
        <w:t>
      а) порядок текущего микробиологического контроля;</w:t>
      </w:r>
    </w:p>
    <w:bookmarkEnd w:id="63"/>
    <w:bookmarkStart w:name="z67" w:id="64"/>
    <w:p>
      <w:pPr>
        <w:spacing w:after="0"/>
        <w:ind w:left="0"/>
        <w:jc w:val="both"/>
      </w:pPr>
      <w:r>
        <w:rPr>
          <w:rFonts w:ascii="Times New Roman"/>
          <w:b w:val="false"/>
          <w:i w:val="false"/>
          <w:color w:val="000000"/>
          <w:sz w:val="28"/>
        </w:rPr>
        <w:t>
      б) объекты и точки контроля;</w:t>
      </w:r>
    </w:p>
    <w:bookmarkEnd w:id="64"/>
    <w:bookmarkStart w:name="z68" w:id="65"/>
    <w:p>
      <w:pPr>
        <w:spacing w:after="0"/>
        <w:ind w:left="0"/>
        <w:jc w:val="both"/>
      </w:pPr>
      <w:r>
        <w:rPr>
          <w:rFonts w:ascii="Times New Roman"/>
          <w:b w:val="false"/>
          <w:i w:val="false"/>
          <w:color w:val="000000"/>
          <w:sz w:val="28"/>
        </w:rPr>
        <w:t>
      в) периодичность отбора проб;</w:t>
      </w:r>
    </w:p>
    <w:bookmarkEnd w:id="65"/>
    <w:bookmarkStart w:name="z69" w:id="66"/>
    <w:p>
      <w:pPr>
        <w:spacing w:after="0"/>
        <w:ind w:left="0"/>
        <w:jc w:val="both"/>
      </w:pPr>
      <w:r>
        <w:rPr>
          <w:rFonts w:ascii="Times New Roman"/>
          <w:b w:val="false"/>
          <w:i w:val="false"/>
          <w:color w:val="000000"/>
          <w:sz w:val="28"/>
        </w:rPr>
        <w:t>
      г) максимальные допустимые пределы действия, а также уровни тревоги и действия;</w:t>
      </w:r>
    </w:p>
    <w:bookmarkEnd w:id="66"/>
    <w:bookmarkStart w:name="z70" w:id="67"/>
    <w:p>
      <w:pPr>
        <w:spacing w:after="0"/>
        <w:ind w:left="0"/>
        <w:jc w:val="both"/>
      </w:pPr>
      <w:r>
        <w:rPr>
          <w:rFonts w:ascii="Times New Roman"/>
          <w:b w:val="false"/>
          <w:i w:val="false"/>
          <w:color w:val="000000"/>
          <w:sz w:val="28"/>
        </w:rPr>
        <w:t>
      д) методы контроля;</w:t>
      </w:r>
    </w:p>
    <w:bookmarkEnd w:id="67"/>
    <w:bookmarkStart w:name="z71" w:id="68"/>
    <w:p>
      <w:pPr>
        <w:spacing w:after="0"/>
        <w:ind w:left="0"/>
        <w:jc w:val="both"/>
      </w:pPr>
      <w:r>
        <w:rPr>
          <w:rFonts w:ascii="Times New Roman"/>
          <w:b w:val="false"/>
          <w:i w:val="false"/>
          <w:color w:val="000000"/>
          <w:sz w:val="28"/>
        </w:rPr>
        <w:t>
      е) периодичность и порядок оценки трендов;</w:t>
      </w:r>
    </w:p>
    <w:bookmarkEnd w:id="68"/>
    <w:bookmarkStart w:name="z72" w:id="69"/>
    <w:p>
      <w:pPr>
        <w:spacing w:after="0"/>
        <w:ind w:left="0"/>
        <w:jc w:val="both"/>
      </w:pPr>
      <w:r>
        <w:rPr>
          <w:rFonts w:ascii="Times New Roman"/>
          <w:b w:val="false"/>
          <w:i w:val="false"/>
          <w:color w:val="000000"/>
          <w:sz w:val="28"/>
        </w:rPr>
        <w:t>
      ж) порядок действий, предпринимаемых в случае выявления неблагоприятных тенденций или отклонений;</w:t>
      </w:r>
    </w:p>
    <w:bookmarkEnd w:id="69"/>
    <w:bookmarkStart w:name="z73" w:id="70"/>
    <w:p>
      <w:pPr>
        <w:spacing w:after="0"/>
        <w:ind w:left="0"/>
        <w:jc w:val="both"/>
      </w:pPr>
      <w:r>
        <w:rPr>
          <w:rFonts w:ascii="Times New Roman"/>
          <w:b w:val="false"/>
          <w:i w:val="false"/>
          <w:color w:val="000000"/>
          <w:sz w:val="28"/>
        </w:rPr>
        <w:t>
      з) порядок ведения записей по мониторингу;</w:t>
      </w:r>
    </w:p>
    <w:bookmarkEnd w:id="70"/>
    <w:bookmarkStart w:name="z74" w:id="71"/>
    <w:p>
      <w:pPr>
        <w:spacing w:after="0"/>
        <w:ind w:left="0"/>
        <w:jc w:val="both"/>
      </w:pPr>
      <w:r>
        <w:rPr>
          <w:rFonts w:ascii="Times New Roman"/>
          <w:b w:val="false"/>
          <w:i w:val="false"/>
          <w:color w:val="000000"/>
          <w:sz w:val="28"/>
        </w:rPr>
        <w:t>
      и) процедуру подтверждения эффективности функционирования программы мониторинга и порядок использования и передачи полученных данных.</w:t>
      </w:r>
    </w:p>
    <w:bookmarkEnd w:id="71"/>
    <w:bookmarkStart w:name="z75" w:id="72"/>
    <w:p>
      <w:pPr>
        <w:spacing w:after="0"/>
        <w:ind w:left="0"/>
        <w:jc w:val="both"/>
      </w:pPr>
      <w:r>
        <w:rPr>
          <w:rFonts w:ascii="Times New Roman"/>
          <w:b w:val="false"/>
          <w:i w:val="false"/>
          <w:color w:val="000000"/>
          <w:sz w:val="28"/>
        </w:rPr>
        <w:t>
      24. Определенный по итогам квалификации (валидации) и проведенного анализа рисков объем мониторинга, включенный в программу мониторинга, следует сохранять в течение установленного периода времени (не более 1 года), если отсутствуют неблагоприятные тенденции или отклонения.</w:t>
      </w:r>
    </w:p>
    <w:bookmarkEnd w:id="72"/>
    <w:bookmarkStart w:name="z76" w:id="73"/>
    <w:p>
      <w:pPr>
        <w:spacing w:after="0"/>
        <w:ind w:left="0"/>
        <w:jc w:val="both"/>
      </w:pPr>
      <w:r>
        <w:rPr>
          <w:rFonts w:ascii="Times New Roman"/>
          <w:b w:val="false"/>
          <w:i w:val="false"/>
          <w:color w:val="000000"/>
          <w:sz w:val="28"/>
        </w:rPr>
        <w:t xml:space="preserve">
      25. По истечении установленного периода проводится обзор трендов результатов мониторинга и анализ результатов программы мониторинга. </w:t>
      </w:r>
    </w:p>
    <w:bookmarkEnd w:id="73"/>
    <w:bookmarkStart w:name="z77" w:id="74"/>
    <w:p>
      <w:pPr>
        <w:spacing w:after="0"/>
        <w:ind w:left="0"/>
        <w:jc w:val="both"/>
      </w:pPr>
      <w:r>
        <w:rPr>
          <w:rFonts w:ascii="Times New Roman"/>
          <w:b w:val="false"/>
          <w:i w:val="false"/>
          <w:color w:val="000000"/>
          <w:sz w:val="28"/>
        </w:rPr>
        <w:t>
      26. В случае отсутствия необходимости изменений, мониторинг продолжает осуществляться в том же объеме. При этом необходимость пересмотра программы мониторинга определяется с учетом результатов последующих обзоров трендов за установленный период, результатами расследования выявленных отклонений, а также при реализации изменений.</w:t>
      </w:r>
    </w:p>
    <w:bookmarkEnd w:id="74"/>
    <w:bookmarkStart w:name="z78" w:id="75"/>
    <w:p>
      <w:pPr>
        <w:spacing w:after="0"/>
        <w:ind w:left="0"/>
        <w:jc w:val="both"/>
      </w:pPr>
      <w:r>
        <w:rPr>
          <w:rFonts w:ascii="Times New Roman"/>
          <w:b w:val="false"/>
          <w:i w:val="false"/>
          <w:color w:val="000000"/>
          <w:sz w:val="28"/>
        </w:rPr>
        <w:t xml:space="preserve">
      27. Если при обзоре трендов результатов мониторинга и анализе программы мониторинга выявлена необходимость изменения (количество (локализация) точек контроля, периодичность отбора проб и др.), проводится анализ рисков, по итогам которого вносятся изменения в программу мониторинга и устанавливается новый объем мониторинга на следующий период (не более 1 года). По истечении установленного периода проводится обзор трендов результатов микробиологического контроля и анализ программы мониторинга. </w:t>
      </w:r>
    </w:p>
    <w:bookmarkEnd w:id="75"/>
    <w:bookmarkStart w:name="z79" w:id="76"/>
    <w:p>
      <w:pPr>
        <w:spacing w:after="0"/>
        <w:ind w:left="0"/>
        <w:jc w:val="both"/>
      </w:pPr>
      <w:r>
        <w:rPr>
          <w:rFonts w:ascii="Times New Roman"/>
          <w:b w:val="false"/>
          <w:i w:val="false"/>
          <w:color w:val="000000"/>
          <w:sz w:val="28"/>
        </w:rPr>
        <w:t xml:space="preserve">
      28. Все действия по изменению программы мониторинга проводятся через систему контроля изменений. </w:t>
      </w:r>
    </w:p>
    <w:bookmarkEnd w:id="76"/>
    <w:bookmarkStart w:name="z80" w:id="77"/>
    <w:p>
      <w:pPr>
        <w:spacing w:after="0"/>
        <w:ind w:left="0"/>
        <w:jc w:val="left"/>
      </w:pPr>
      <w:r>
        <w:rPr>
          <w:rFonts w:ascii="Times New Roman"/>
          <w:b/>
          <w:i w:val="false"/>
          <w:color w:val="000000"/>
        </w:rPr>
        <w:t xml:space="preserve"> IV. Выбор точек контроля</w:t>
      </w:r>
    </w:p>
    <w:bookmarkEnd w:id="77"/>
    <w:bookmarkStart w:name="z81" w:id="78"/>
    <w:p>
      <w:pPr>
        <w:spacing w:after="0"/>
        <w:ind w:left="0"/>
        <w:jc w:val="both"/>
      </w:pPr>
      <w:r>
        <w:rPr>
          <w:rFonts w:ascii="Times New Roman"/>
          <w:b w:val="false"/>
          <w:i w:val="false"/>
          <w:color w:val="000000"/>
          <w:sz w:val="28"/>
        </w:rPr>
        <w:t xml:space="preserve">
      29. Во время ввода в эксплуатацию производственных помещений (зон) и оборудования производителем проводится квалификация чистых помещений (зон) и валидация очистки оборудования. Для проведения квалификации (валидации) следует определить точки контроля, в которых будут отбираться пробы для микробиологических испытаний. Точки контроля устанавливаются на основании результатов анализа рисков. Степень риска для качества определяют исходя из особенностей производства, требований к уровню его микробиологической чистоты. </w:t>
      </w:r>
    </w:p>
    <w:bookmarkEnd w:id="78"/>
    <w:bookmarkStart w:name="z82" w:id="79"/>
    <w:p>
      <w:pPr>
        <w:spacing w:after="0"/>
        <w:ind w:left="0"/>
        <w:jc w:val="left"/>
      </w:pPr>
      <w:r>
        <w:rPr>
          <w:rFonts w:ascii="Times New Roman"/>
          <w:b/>
          <w:i w:val="false"/>
          <w:color w:val="000000"/>
        </w:rPr>
        <w:t xml:space="preserve"> 1. Выбор точек контроля для квалификации чистых помещений (зон)</w:t>
      </w:r>
    </w:p>
    <w:bookmarkEnd w:id="79"/>
    <w:bookmarkStart w:name="z83" w:id="80"/>
    <w:p>
      <w:pPr>
        <w:spacing w:after="0"/>
        <w:ind w:left="0"/>
        <w:jc w:val="both"/>
      </w:pPr>
      <w:r>
        <w:rPr>
          <w:rFonts w:ascii="Times New Roman"/>
          <w:b w:val="false"/>
          <w:i w:val="false"/>
          <w:color w:val="000000"/>
          <w:sz w:val="28"/>
        </w:rPr>
        <w:t xml:space="preserve">
      30. Для определения локализации и количества точек контроля при проведении квалификации в чистых помещениях (зонах) допускается использовать метод сетки, согласно </w:t>
      </w:r>
      <w:r>
        <w:rPr>
          <w:rFonts w:ascii="Times New Roman"/>
          <w:b w:val="false"/>
          <w:i w:val="false"/>
          <w:color w:val="000000"/>
          <w:sz w:val="28"/>
        </w:rPr>
        <w:t>приложению № 2</w:t>
      </w:r>
      <w:r>
        <w:rPr>
          <w:rFonts w:ascii="Times New Roman"/>
          <w:b w:val="false"/>
          <w:i w:val="false"/>
          <w:color w:val="000000"/>
          <w:sz w:val="28"/>
        </w:rPr>
        <w:t xml:space="preserve">. </w:t>
      </w:r>
    </w:p>
    <w:bookmarkEnd w:id="80"/>
    <w:bookmarkStart w:name="z84" w:id="81"/>
    <w:p>
      <w:pPr>
        <w:spacing w:after="0"/>
        <w:ind w:left="0"/>
        <w:jc w:val="both"/>
      </w:pPr>
      <w:r>
        <w:rPr>
          <w:rFonts w:ascii="Times New Roman"/>
          <w:b w:val="false"/>
          <w:i w:val="false"/>
          <w:color w:val="000000"/>
          <w:sz w:val="28"/>
        </w:rPr>
        <w:t xml:space="preserve">
      31. При проведении анализа рисков с целью выбора точек контроля для квалификации чистых помещений (зон) учитываются в том числе следующие факторы (но не ограничиваются ими): </w:t>
      </w:r>
    </w:p>
    <w:bookmarkEnd w:id="81"/>
    <w:bookmarkStart w:name="z85" w:id="82"/>
    <w:p>
      <w:pPr>
        <w:spacing w:after="0"/>
        <w:ind w:left="0"/>
        <w:jc w:val="both"/>
      </w:pPr>
      <w:r>
        <w:rPr>
          <w:rFonts w:ascii="Times New Roman"/>
          <w:b w:val="false"/>
          <w:i w:val="false"/>
          <w:color w:val="000000"/>
          <w:sz w:val="28"/>
        </w:rPr>
        <w:t>
      а) применимость для выбора точек контроля метода сетки;</w:t>
      </w:r>
    </w:p>
    <w:bookmarkEnd w:id="82"/>
    <w:bookmarkStart w:name="z86" w:id="83"/>
    <w:p>
      <w:pPr>
        <w:spacing w:after="0"/>
        <w:ind w:left="0"/>
        <w:jc w:val="both"/>
      </w:pPr>
      <w:r>
        <w:rPr>
          <w:rFonts w:ascii="Times New Roman"/>
          <w:b w:val="false"/>
          <w:i w:val="false"/>
          <w:color w:val="000000"/>
          <w:sz w:val="28"/>
        </w:rPr>
        <w:t xml:space="preserve">
      б) критичность процесса, который проводится в чистом помещении (зоне); </w:t>
      </w:r>
    </w:p>
    <w:bookmarkEnd w:id="83"/>
    <w:bookmarkStart w:name="z87" w:id="84"/>
    <w:p>
      <w:pPr>
        <w:spacing w:after="0"/>
        <w:ind w:left="0"/>
        <w:jc w:val="both"/>
      </w:pPr>
      <w:r>
        <w:rPr>
          <w:rFonts w:ascii="Times New Roman"/>
          <w:b w:val="false"/>
          <w:i w:val="false"/>
          <w:color w:val="000000"/>
          <w:sz w:val="28"/>
        </w:rPr>
        <w:t>
      в) допустимый уровень микробной контаминации продукта;</w:t>
      </w:r>
    </w:p>
    <w:bookmarkEnd w:id="84"/>
    <w:bookmarkStart w:name="z88" w:id="85"/>
    <w:p>
      <w:pPr>
        <w:spacing w:after="0"/>
        <w:ind w:left="0"/>
        <w:jc w:val="both"/>
      </w:pPr>
      <w:r>
        <w:rPr>
          <w:rFonts w:ascii="Times New Roman"/>
          <w:b w:val="false"/>
          <w:i w:val="false"/>
          <w:color w:val="000000"/>
          <w:sz w:val="28"/>
        </w:rPr>
        <w:t>
      г) уровень микробной контаминации исходного сырья и возможность его влияния на чистоту помещений (зон);</w:t>
      </w:r>
    </w:p>
    <w:bookmarkEnd w:id="85"/>
    <w:bookmarkStart w:name="z89" w:id="86"/>
    <w:p>
      <w:pPr>
        <w:spacing w:after="0"/>
        <w:ind w:left="0"/>
        <w:jc w:val="both"/>
      </w:pPr>
      <w:r>
        <w:rPr>
          <w:rFonts w:ascii="Times New Roman"/>
          <w:b w:val="false"/>
          <w:i w:val="false"/>
          <w:color w:val="000000"/>
          <w:sz w:val="28"/>
        </w:rPr>
        <w:t>
      д) зоны контакта производственной среды с открытым продуктом;</w:t>
      </w:r>
    </w:p>
    <w:bookmarkEnd w:id="86"/>
    <w:bookmarkStart w:name="z90" w:id="87"/>
    <w:p>
      <w:pPr>
        <w:spacing w:after="0"/>
        <w:ind w:left="0"/>
        <w:jc w:val="both"/>
      </w:pPr>
      <w:r>
        <w:rPr>
          <w:rFonts w:ascii="Times New Roman"/>
          <w:b w:val="false"/>
          <w:i w:val="false"/>
          <w:color w:val="000000"/>
          <w:sz w:val="28"/>
        </w:rPr>
        <w:t>
      е) длительность производственных процессов в данном помещении (зоне);</w:t>
      </w:r>
    </w:p>
    <w:bookmarkEnd w:id="87"/>
    <w:bookmarkStart w:name="z91" w:id="88"/>
    <w:p>
      <w:pPr>
        <w:spacing w:after="0"/>
        <w:ind w:left="0"/>
        <w:jc w:val="both"/>
      </w:pPr>
      <w:r>
        <w:rPr>
          <w:rFonts w:ascii="Times New Roman"/>
          <w:b w:val="false"/>
          <w:i w:val="false"/>
          <w:color w:val="000000"/>
          <w:sz w:val="28"/>
        </w:rPr>
        <w:t>
      ж) зоны помещения, где в наибольшей степени осуществляет работы персонал;</w:t>
      </w:r>
    </w:p>
    <w:bookmarkEnd w:id="88"/>
    <w:bookmarkStart w:name="z92" w:id="89"/>
    <w:p>
      <w:pPr>
        <w:spacing w:after="0"/>
        <w:ind w:left="0"/>
        <w:jc w:val="both"/>
      </w:pPr>
      <w:r>
        <w:rPr>
          <w:rFonts w:ascii="Times New Roman"/>
          <w:b w:val="false"/>
          <w:i w:val="false"/>
          <w:color w:val="000000"/>
          <w:sz w:val="28"/>
        </w:rPr>
        <w:t>
      з) количество сотрудников, время пребывания в помещении, степень активности при выполнении работ;</w:t>
      </w:r>
    </w:p>
    <w:bookmarkEnd w:id="89"/>
    <w:bookmarkStart w:name="z93" w:id="90"/>
    <w:p>
      <w:pPr>
        <w:spacing w:after="0"/>
        <w:ind w:left="0"/>
        <w:jc w:val="both"/>
      </w:pPr>
      <w:r>
        <w:rPr>
          <w:rFonts w:ascii="Times New Roman"/>
          <w:b w:val="false"/>
          <w:i w:val="false"/>
          <w:color w:val="000000"/>
          <w:sz w:val="28"/>
        </w:rPr>
        <w:t>
      и) труднодоступные для очистки и дезинфекции объекты;</w:t>
      </w:r>
    </w:p>
    <w:bookmarkEnd w:id="90"/>
    <w:bookmarkStart w:name="z94" w:id="91"/>
    <w:p>
      <w:pPr>
        <w:spacing w:after="0"/>
        <w:ind w:left="0"/>
        <w:jc w:val="both"/>
      </w:pPr>
      <w:r>
        <w:rPr>
          <w:rFonts w:ascii="Times New Roman"/>
          <w:b w:val="false"/>
          <w:i w:val="false"/>
          <w:color w:val="000000"/>
          <w:sz w:val="28"/>
        </w:rPr>
        <w:t>
      к) частота проведения очисток (дезинфекций);</w:t>
      </w:r>
    </w:p>
    <w:bookmarkEnd w:id="91"/>
    <w:bookmarkStart w:name="z95" w:id="92"/>
    <w:p>
      <w:pPr>
        <w:spacing w:after="0"/>
        <w:ind w:left="0"/>
        <w:jc w:val="both"/>
      </w:pPr>
      <w:r>
        <w:rPr>
          <w:rFonts w:ascii="Times New Roman"/>
          <w:b w:val="false"/>
          <w:i w:val="false"/>
          <w:color w:val="000000"/>
          <w:sz w:val="28"/>
        </w:rPr>
        <w:t>
      л) стадия (операция) производственного процесса, являющаяся наиболее критичной с точки зрения риска микробной контаминации продукта;</w:t>
      </w:r>
    </w:p>
    <w:bookmarkEnd w:id="92"/>
    <w:bookmarkStart w:name="z96" w:id="93"/>
    <w:p>
      <w:pPr>
        <w:spacing w:after="0"/>
        <w:ind w:left="0"/>
        <w:jc w:val="both"/>
      </w:pPr>
      <w:r>
        <w:rPr>
          <w:rFonts w:ascii="Times New Roman"/>
          <w:b w:val="false"/>
          <w:i w:val="false"/>
          <w:color w:val="000000"/>
          <w:sz w:val="28"/>
        </w:rPr>
        <w:t>
      м) потоки движения персонала, материалов, отходов;</w:t>
      </w:r>
    </w:p>
    <w:bookmarkEnd w:id="93"/>
    <w:bookmarkStart w:name="z97" w:id="94"/>
    <w:p>
      <w:pPr>
        <w:spacing w:after="0"/>
        <w:ind w:left="0"/>
        <w:jc w:val="both"/>
      </w:pPr>
      <w:r>
        <w:rPr>
          <w:rFonts w:ascii="Times New Roman"/>
          <w:b w:val="false"/>
          <w:i w:val="false"/>
          <w:color w:val="000000"/>
          <w:sz w:val="28"/>
        </w:rPr>
        <w:t>
      н) профиль движения воздушных потоков (приток-вытяжка), проектное решение системы вентиляции и кондиционирования (классификация фильтров, HEPA-фильтры в каждом помещении или только на поступлении воздуха в зону производства, профиль перепада давления);</w:t>
      </w:r>
    </w:p>
    <w:bookmarkEnd w:id="94"/>
    <w:bookmarkStart w:name="z98" w:id="95"/>
    <w:p>
      <w:pPr>
        <w:spacing w:after="0"/>
        <w:ind w:left="0"/>
        <w:jc w:val="both"/>
      </w:pPr>
      <w:r>
        <w:rPr>
          <w:rFonts w:ascii="Times New Roman"/>
          <w:b w:val="false"/>
          <w:i w:val="false"/>
          <w:color w:val="000000"/>
          <w:sz w:val="28"/>
        </w:rPr>
        <w:t>
      и) проект чистых помещений (площадь, дизайн (наличие зон скопления пыли и иных загрязнений), количество дверей, смежные помещения, сквозные отверстия из одного помещения в другое и др.);</w:t>
      </w:r>
    </w:p>
    <w:bookmarkEnd w:id="95"/>
    <w:bookmarkStart w:name="z99" w:id="96"/>
    <w:p>
      <w:pPr>
        <w:spacing w:after="0"/>
        <w:ind w:left="0"/>
        <w:jc w:val="both"/>
      </w:pPr>
      <w:r>
        <w:rPr>
          <w:rFonts w:ascii="Times New Roman"/>
          <w:b w:val="false"/>
          <w:i w:val="false"/>
          <w:color w:val="000000"/>
          <w:sz w:val="28"/>
        </w:rPr>
        <w:t>
      к) используемые материалы поверхностей (нержавеющая сталь, стекло, ПВХ-панели и др.) с точки зрения риска формирования микротрещин;</w:t>
      </w:r>
    </w:p>
    <w:bookmarkEnd w:id="96"/>
    <w:bookmarkStart w:name="z100" w:id="97"/>
    <w:p>
      <w:pPr>
        <w:spacing w:after="0"/>
        <w:ind w:left="0"/>
        <w:jc w:val="both"/>
      </w:pPr>
      <w:r>
        <w:rPr>
          <w:rFonts w:ascii="Times New Roman"/>
          <w:b w:val="false"/>
          <w:i w:val="false"/>
          <w:color w:val="000000"/>
          <w:sz w:val="28"/>
        </w:rPr>
        <w:t>
      л) возможность нарушения при отборе проб на данном участке производственного процесса (риск сбора ошибочных данных или загрязнение продукта);</w:t>
      </w:r>
    </w:p>
    <w:bookmarkEnd w:id="97"/>
    <w:bookmarkStart w:name="z101" w:id="98"/>
    <w:p>
      <w:pPr>
        <w:spacing w:after="0"/>
        <w:ind w:left="0"/>
        <w:jc w:val="both"/>
      </w:pPr>
      <w:r>
        <w:rPr>
          <w:rFonts w:ascii="Times New Roman"/>
          <w:b w:val="false"/>
          <w:i w:val="false"/>
          <w:color w:val="000000"/>
          <w:sz w:val="28"/>
        </w:rPr>
        <w:t xml:space="preserve">
      м) осуществление отбора проб в процессе производства или необходимость проведения отбора проб в конце смены или после окончания критических технологических операций. </w:t>
      </w:r>
    </w:p>
    <w:bookmarkEnd w:id="98"/>
    <w:bookmarkStart w:name="z102" w:id="99"/>
    <w:p>
      <w:pPr>
        <w:spacing w:after="0"/>
        <w:ind w:left="0"/>
        <w:jc w:val="left"/>
      </w:pPr>
      <w:r>
        <w:rPr>
          <w:rFonts w:ascii="Times New Roman"/>
          <w:b/>
          <w:i w:val="false"/>
          <w:color w:val="000000"/>
        </w:rPr>
        <w:t xml:space="preserve"> 2. Выбор точек контроля для валидации очистки оборудования</w:t>
      </w:r>
    </w:p>
    <w:bookmarkEnd w:id="99"/>
    <w:bookmarkStart w:name="z103" w:id="100"/>
    <w:p>
      <w:pPr>
        <w:spacing w:after="0"/>
        <w:ind w:left="0"/>
        <w:jc w:val="both"/>
      </w:pPr>
      <w:r>
        <w:rPr>
          <w:rFonts w:ascii="Times New Roman"/>
          <w:b w:val="false"/>
          <w:i w:val="false"/>
          <w:color w:val="000000"/>
          <w:sz w:val="28"/>
        </w:rPr>
        <w:t xml:space="preserve">
      32. При проведении анализа рисков с целью выбора точек контроля для валидации очистки оборудования учитываются в том числе следующие факторы (но не ограничиваются ими): </w:t>
      </w:r>
    </w:p>
    <w:bookmarkEnd w:id="100"/>
    <w:bookmarkStart w:name="z104" w:id="101"/>
    <w:p>
      <w:pPr>
        <w:spacing w:after="0"/>
        <w:ind w:left="0"/>
        <w:jc w:val="both"/>
      </w:pPr>
      <w:r>
        <w:rPr>
          <w:rFonts w:ascii="Times New Roman"/>
          <w:b w:val="false"/>
          <w:i w:val="false"/>
          <w:color w:val="000000"/>
          <w:sz w:val="28"/>
        </w:rPr>
        <w:t>
      а) контакт с продуктом;</w:t>
      </w:r>
    </w:p>
    <w:bookmarkEnd w:id="101"/>
    <w:bookmarkStart w:name="z105" w:id="102"/>
    <w:p>
      <w:pPr>
        <w:spacing w:after="0"/>
        <w:ind w:left="0"/>
        <w:jc w:val="both"/>
      </w:pPr>
      <w:r>
        <w:rPr>
          <w:rFonts w:ascii="Times New Roman"/>
          <w:b w:val="false"/>
          <w:i w:val="false"/>
          <w:color w:val="000000"/>
          <w:sz w:val="28"/>
        </w:rPr>
        <w:t>
      б) дизайн оборудования: наличие стыков, труднодоступных для очистки мест, наличие узких мест, длинных шлангов и пр.;</w:t>
      </w:r>
    </w:p>
    <w:bookmarkEnd w:id="102"/>
    <w:bookmarkStart w:name="z106" w:id="103"/>
    <w:p>
      <w:pPr>
        <w:spacing w:after="0"/>
        <w:ind w:left="0"/>
        <w:jc w:val="both"/>
      </w:pPr>
      <w:r>
        <w:rPr>
          <w:rFonts w:ascii="Times New Roman"/>
          <w:b w:val="false"/>
          <w:i w:val="false"/>
          <w:color w:val="000000"/>
          <w:sz w:val="28"/>
        </w:rPr>
        <w:t>
      в) применение CIP-мойки или ручная мойка;</w:t>
      </w:r>
    </w:p>
    <w:bookmarkEnd w:id="103"/>
    <w:bookmarkStart w:name="z107" w:id="104"/>
    <w:p>
      <w:pPr>
        <w:spacing w:after="0"/>
        <w:ind w:left="0"/>
        <w:jc w:val="both"/>
      </w:pPr>
      <w:r>
        <w:rPr>
          <w:rFonts w:ascii="Times New Roman"/>
          <w:b w:val="false"/>
          <w:i w:val="false"/>
          <w:color w:val="000000"/>
          <w:sz w:val="28"/>
        </w:rPr>
        <w:t>
      г) частота проведения очисток и дезинфекций;</w:t>
      </w:r>
    </w:p>
    <w:bookmarkEnd w:id="104"/>
    <w:bookmarkStart w:name="z108" w:id="105"/>
    <w:p>
      <w:pPr>
        <w:spacing w:after="0"/>
        <w:ind w:left="0"/>
        <w:jc w:val="both"/>
      </w:pPr>
      <w:r>
        <w:rPr>
          <w:rFonts w:ascii="Times New Roman"/>
          <w:b w:val="false"/>
          <w:i w:val="false"/>
          <w:color w:val="000000"/>
          <w:sz w:val="28"/>
        </w:rPr>
        <w:t>
      д) продолжительность производственных кампаний.</w:t>
      </w:r>
    </w:p>
    <w:bookmarkEnd w:id="105"/>
    <w:bookmarkStart w:name="z109" w:id="106"/>
    <w:p>
      <w:pPr>
        <w:spacing w:after="0"/>
        <w:ind w:left="0"/>
        <w:jc w:val="both"/>
      </w:pPr>
      <w:r>
        <w:rPr>
          <w:rFonts w:ascii="Times New Roman"/>
          <w:b w:val="false"/>
          <w:i w:val="false"/>
          <w:color w:val="000000"/>
          <w:sz w:val="28"/>
        </w:rPr>
        <w:t>
      33. Для выбора точек контроля для валидации очистки оборудования допускается применять метод сетки, если позволяет конструкция оборудования и известна его площадь.</w:t>
      </w:r>
    </w:p>
    <w:bookmarkEnd w:id="106"/>
    <w:bookmarkStart w:name="z110" w:id="107"/>
    <w:p>
      <w:pPr>
        <w:spacing w:after="0"/>
        <w:ind w:left="0"/>
        <w:jc w:val="both"/>
      </w:pPr>
      <w:r>
        <w:rPr>
          <w:rFonts w:ascii="Times New Roman"/>
          <w:b w:val="false"/>
          <w:i w:val="false"/>
          <w:color w:val="000000"/>
          <w:sz w:val="28"/>
        </w:rPr>
        <w:t xml:space="preserve">
      34. Определение точек контроля для рутинного мониторинга производственной среды осуществляется в соответствии с принципами управления рисками для качества на основании результатов, проведенной квалификации (валидации). Количество точек контроля при квалификации (валидации), как правило, является расширенным. Результаты квалификации могут указывать на необходимость оптимизации объема мониторинга, и количество точек контроля для рутинного мониторинга может быть уменьшено. </w:t>
      </w:r>
    </w:p>
    <w:bookmarkEnd w:id="107"/>
    <w:bookmarkStart w:name="z111" w:id="108"/>
    <w:p>
      <w:pPr>
        <w:spacing w:after="0"/>
        <w:ind w:left="0"/>
        <w:jc w:val="both"/>
      </w:pPr>
      <w:r>
        <w:rPr>
          <w:rFonts w:ascii="Times New Roman"/>
          <w:b w:val="false"/>
          <w:i w:val="false"/>
          <w:color w:val="000000"/>
          <w:sz w:val="28"/>
        </w:rPr>
        <w:t>
      35. В процессе производства точки контроля (например, поверхностей) могут меняться.</w:t>
      </w:r>
    </w:p>
    <w:bookmarkEnd w:id="108"/>
    <w:p>
      <w:pPr>
        <w:spacing w:after="0"/>
        <w:ind w:left="0"/>
        <w:jc w:val="both"/>
      </w:pPr>
      <w:bookmarkStart w:name="z112" w:id="109"/>
      <w:r>
        <w:rPr>
          <w:rFonts w:ascii="Times New Roman"/>
          <w:b w:val="false"/>
          <w:i w:val="false"/>
          <w:color w:val="000000"/>
          <w:sz w:val="28"/>
        </w:rPr>
        <w:t xml:space="preserve">
      36. Выбранные точки контроля допускается разделять по степени присущего им риска на критические, точки среднего и низкого риска. </w:t>
      </w:r>
    </w:p>
    <w:bookmarkEnd w:id="109"/>
    <w:p>
      <w:pPr>
        <w:spacing w:after="0"/>
        <w:ind w:left="0"/>
        <w:jc w:val="both"/>
      </w:pPr>
      <w:r>
        <w:rPr>
          <w:rFonts w:ascii="Times New Roman"/>
          <w:b w:val="false"/>
          <w:i w:val="false"/>
          <w:color w:val="000000"/>
          <w:sz w:val="28"/>
        </w:rPr>
        <w:t>В дальнейшем такое деление используют при разработке плана отбора проб, установлении периодичности мониторинга, обосновании уровня тревоги и уровня действия по микробиологическому загрязнению в данных точках.</w:t>
      </w:r>
    </w:p>
    <w:bookmarkStart w:name="z113" w:id="110"/>
    <w:p>
      <w:pPr>
        <w:spacing w:after="0"/>
        <w:ind w:left="0"/>
        <w:jc w:val="both"/>
      </w:pPr>
      <w:r>
        <w:rPr>
          <w:rFonts w:ascii="Times New Roman"/>
          <w:b w:val="false"/>
          <w:i w:val="false"/>
          <w:color w:val="000000"/>
          <w:sz w:val="28"/>
        </w:rPr>
        <w:t xml:space="preserve">
      37. Во избежание перепутывания точек отбора (особенно при контроле поверхностей) рекомендуется указывать их на схемах с обозначенным технологическим оборудованием, передаточными окнами и дверями или использовать фотографии объектов контроля с указанием точек контроля. </w:t>
      </w:r>
    </w:p>
    <w:bookmarkEnd w:id="110"/>
    <w:bookmarkStart w:name="z114" w:id="111"/>
    <w:p>
      <w:pPr>
        <w:spacing w:after="0"/>
        <w:ind w:left="0"/>
        <w:jc w:val="both"/>
      </w:pPr>
      <w:r>
        <w:rPr>
          <w:rFonts w:ascii="Times New Roman"/>
          <w:b w:val="false"/>
          <w:i w:val="false"/>
          <w:color w:val="000000"/>
          <w:sz w:val="28"/>
        </w:rPr>
        <w:t xml:space="preserve">
      Такие схемы могут быть полезными при разработке планов отбора проб и определении маршрутов передвижения персонала, выполняющего отбор проб, в чистых помещениях (зонах). </w:t>
      </w:r>
    </w:p>
    <w:bookmarkEnd w:id="111"/>
    <w:bookmarkStart w:name="z115" w:id="112"/>
    <w:p>
      <w:pPr>
        <w:spacing w:after="0"/>
        <w:ind w:left="0"/>
        <w:jc w:val="both"/>
      </w:pPr>
      <w:r>
        <w:rPr>
          <w:rFonts w:ascii="Times New Roman"/>
          <w:b w:val="false"/>
          <w:i w:val="false"/>
          <w:color w:val="000000"/>
          <w:sz w:val="28"/>
        </w:rPr>
        <w:t>
      38. Допускается для идентификации точек контроля в местах отбора проб на технологическом оборудовании и в помещениях использовать специально изготовленные этикетки, которые гарантированно могут подвергаться многократным обработкам дезинфицирующими средствами. Пример идентификации приведен на рисунке 1.</w:t>
      </w:r>
    </w:p>
    <w:bookmarkEnd w:id="112"/>
    <w:bookmarkStart w:name="z11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3670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Рисунок 1. Идентификация точек контроля при помощи этикеток</w:t>
      </w:r>
    </w:p>
    <w:bookmarkEnd w:id="114"/>
    <w:bookmarkStart w:name="z118" w:id="115"/>
    <w:p>
      <w:pPr>
        <w:spacing w:after="0"/>
        <w:ind w:left="0"/>
        <w:jc w:val="left"/>
      </w:pPr>
      <w:r>
        <w:rPr>
          <w:rFonts w:ascii="Times New Roman"/>
          <w:b/>
          <w:i w:val="false"/>
          <w:color w:val="000000"/>
        </w:rPr>
        <w:t xml:space="preserve"> V. Методы контроля</w:t>
      </w:r>
    </w:p>
    <w:bookmarkEnd w:id="115"/>
    <w:bookmarkStart w:name="z119" w:id="116"/>
    <w:p>
      <w:pPr>
        <w:spacing w:after="0"/>
        <w:ind w:left="0"/>
        <w:jc w:val="both"/>
      </w:pPr>
      <w:r>
        <w:rPr>
          <w:rFonts w:ascii="Times New Roman"/>
          <w:b w:val="false"/>
          <w:i w:val="false"/>
          <w:color w:val="000000"/>
          <w:sz w:val="28"/>
        </w:rPr>
        <w:t xml:space="preserve">
      39. Для мониторинга используют качественные, полуколичественные и количественные методы, позволяющие определить микробиологическое загрязнение в производственной среде. Для рутинного мониторинга используют те же методы, что и при первичной квалификации (валидации) объектов контроля. </w:t>
      </w:r>
    </w:p>
    <w:bookmarkEnd w:id="116"/>
    <w:bookmarkStart w:name="z120" w:id="117"/>
    <w:p>
      <w:pPr>
        <w:spacing w:after="0"/>
        <w:ind w:left="0"/>
        <w:jc w:val="both"/>
      </w:pPr>
      <w:r>
        <w:rPr>
          <w:rFonts w:ascii="Times New Roman"/>
          <w:b w:val="false"/>
          <w:i w:val="false"/>
          <w:color w:val="000000"/>
          <w:sz w:val="28"/>
        </w:rPr>
        <w:t>
      40. Производителю следует валидировать применяемые методы. Валидация включат в себя как минимум стандартизацию отбора проб (порядок взятия, тип пробоотборных устройств) и времени инкубации, определение степени извлечения с различного типа поверхностей с приемлемой сходимостью результатов. Следует установить критерии для ревалидации (новые методы отбора, виды поверхностей, типы пробоотборных устройств и др.).</w:t>
      </w:r>
    </w:p>
    <w:bookmarkEnd w:id="117"/>
    <w:bookmarkStart w:name="z121" w:id="118"/>
    <w:p>
      <w:pPr>
        <w:spacing w:after="0"/>
        <w:ind w:left="0"/>
        <w:jc w:val="both"/>
      </w:pPr>
      <w:r>
        <w:rPr>
          <w:rFonts w:ascii="Times New Roman"/>
          <w:b w:val="false"/>
          <w:i w:val="false"/>
          <w:color w:val="000000"/>
          <w:sz w:val="28"/>
        </w:rPr>
        <w:t xml:space="preserve">
      41. Вопрос принятия соответствующих альтернативных систем мониторинга (например, систем с использованием быстрых методов) рассматривается производителями для ускорения процесса обнаружения проблем, связанных с микробиологической контаминацией, а также для снижения рисков для продукта. Такие быстрые или автоматизированные методы мониторинга могут применяться после того, как в ходе валидации была продемонстрирована их эквивалентность установленной методологии или превосходство над ней. </w:t>
      </w:r>
    </w:p>
    <w:bookmarkEnd w:id="118"/>
    <w:bookmarkStart w:name="z122" w:id="119"/>
    <w:p>
      <w:pPr>
        <w:spacing w:after="0"/>
        <w:ind w:left="0"/>
        <w:jc w:val="both"/>
      </w:pPr>
      <w:r>
        <w:rPr>
          <w:rFonts w:ascii="Times New Roman"/>
          <w:b w:val="false"/>
          <w:i w:val="false"/>
          <w:color w:val="000000"/>
          <w:sz w:val="28"/>
        </w:rPr>
        <w:t xml:space="preserve">
      42. В случае, если используются иные или новые технологии, представляющие результаты в единицах, отличных от КОЕ, производителю следует предоставить научное обоснование используемых пределов и по возможности связать их с КОЕ. </w:t>
      </w:r>
    </w:p>
    <w:bookmarkEnd w:id="119"/>
    <w:bookmarkStart w:name="z123" w:id="120"/>
    <w:p>
      <w:pPr>
        <w:spacing w:after="0"/>
        <w:ind w:left="0"/>
        <w:jc w:val="both"/>
      </w:pPr>
      <w:r>
        <w:rPr>
          <w:rFonts w:ascii="Times New Roman"/>
          <w:b w:val="false"/>
          <w:i w:val="false"/>
          <w:color w:val="000000"/>
          <w:sz w:val="28"/>
        </w:rPr>
        <w:t xml:space="preserve">
      43. Методы отбора проб не должны создавать риск микробного загрязнения для производственных операций. </w:t>
      </w:r>
    </w:p>
    <w:bookmarkEnd w:id="120"/>
    <w:bookmarkStart w:name="z124" w:id="121"/>
    <w:p>
      <w:pPr>
        <w:spacing w:after="0"/>
        <w:ind w:left="0"/>
        <w:jc w:val="both"/>
      </w:pPr>
      <w:r>
        <w:rPr>
          <w:rFonts w:ascii="Times New Roman"/>
          <w:b w:val="false"/>
          <w:i w:val="false"/>
          <w:color w:val="000000"/>
          <w:sz w:val="28"/>
        </w:rPr>
        <w:t>
      44. В случае если осуществляются асептические операции, используемый метод отбора проб следует обосновать в рамках стратегии контроля контаминации. Следует продемонстрировать, что он не оказывает негативного влияния на воздушные потоки в зонах классов А и В. Мониторинг поверхностей чистых помещений (зон) и оборудования следует проводить после завершения критической операции.</w:t>
      </w:r>
    </w:p>
    <w:bookmarkEnd w:id="121"/>
    <w:bookmarkStart w:name="z125" w:id="122"/>
    <w:p>
      <w:pPr>
        <w:spacing w:after="0"/>
        <w:ind w:left="0"/>
        <w:jc w:val="both"/>
      </w:pPr>
      <w:r>
        <w:rPr>
          <w:rFonts w:ascii="Times New Roman"/>
          <w:b w:val="false"/>
          <w:i w:val="false"/>
          <w:color w:val="000000"/>
          <w:sz w:val="28"/>
        </w:rPr>
        <w:t>
      45. Выбранное время инкубации проб должно быть оптимальным исходя из необходимости оперативного получения результатов микробиологических испытаний и необходимого времени на восстановление поврежденных микроорганизмов и микроорганизмов с угнетенными физиологическими функциями.</w:t>
      </w:r>
    </w:p>
    <w:bookmarkEnd w:id="122"/>
    <w:bookmarkStart w:name="z126" w:id="123"/>
    <w:p>
      <w:pPr>
        <w:spacing w:after="0"/>
        <w:ind w:left="0"/>
        <w:jc w:val="both"/>
      </w:pPr>
      <w:r>
        <w:rPr>
          <w:rFonts w:ascii="Times New Roman"/>
          <w:b w:val="false"/>
          <w:i w:val="false"/>
          <w:color w:val="000000"/>
          <w:sz w:val="28"/>
        </w:rPr>
        <w:t xml:space="preserve">
      46. Универсальными условиями инкубации проб, необходимыми для роста и образования колоний микроорганизмов, присутствующих в производственной среде, пригодными в большинстве случаев, являются: </w:t>
      </w:r>
    </w:p>
    <w:bookmarkEnd w:id="123"/>
    <w:bookmarkStart w:name="z127" w:id="124"/>
    <w:p>
      <w:pPr>
        <w:spacing w:after="0"/>
        <w:ind w:left="0"/>
        <w:jc w:val="both"/>
      </w:pPr>
      <w:r>
        <w:rPr>
          <w:rFonts w:ascii="Times New Roman"/>
          <w:b w:val="false"/>
          <w:i w:val="false"/>
          <w:color w:val="000000"/>
          <w:sz w:val="28"/>
        </w:rPr>
        <w:t xml:space="preserve">
      для аэробных бактерий – температура (32,5 ± 2,5) °C и время инкубации от 48 ч до 72 ч; </w:t>
      </w:r>
    </w:p>
    <w:bookmarkEnd w:id="124"/>
    <w:bookmarkStart w:name="z128" w:id="125"/>
    <w:p>
      <w:pPr>
        <w:spacing w:after="0"/>
        <w:ind w:left="0"/>
        <w:jc w:val="both"/>
      </w:pPr>
      <w:r>
        <w:rPr>
          <w:rFonts w:ascii="Times New Roman"/>
          <w:b w:val="false"/>
          <w:i w:val="false"/>
          <w:color w:val="000000"/>
          <w:sz w:val="28"/>
        </w:rPr>
        <w:t xml:space="preserve">
      для дрожжевых и плесневых грибов – температура (22,5 ± 2,5) °C и время инкубации от 5 до 7 суток. </w:t>
      </w:r>
    </w:p>
    <w:bookmarkEnd w:id="125"/>
    <w:bookmarkStart w:name="z129" w:id="126"/>
    <w:p>
      <w:pPr>
        <w:spacing w:after="0"/>
        <w:ind w:left="0"/>
        <w:jc w:val="both"/>
      </w:pPr>
      <w:r>
        <w:rPr>
          <w:rFonts w:ascii="Times New Roman"/>
          <w:b w:val="false"/>
          <w:i w:val="false"/>
          <w:color w:val="000000"/>
          <w:sz w:val="28"/>
        </w:rPr>
        <w:t>
      Допускается применение иных, более коротких сроков инкубации, которые производителю следует обосновать результатами валидации.</w:t>
      </w:r>
    </w:p>
    <w:bookmarkEnd w:id="126"/>
    <w:bookmarkStart w:name="z130" w:id="127"/>
    <w:p>
      <w:pPr>
        <w:spacing w:after="0"/>
        <w:ind w:left="0"/>
        <w:jc w:val="both"/>
      </w:pPr>
      <w:r>
        <w:rPr>
          <w:rFonts w:ascii="Times New Roman"/>
          <w:b w:val="false"/>
          <w:i w:val="false"/>
          <w:color w:val="000000"/>
          <w:sz w:val="28"/>
        </w:rPr>
        <w:t xml:space="preserve">
      При этом следует учитывать, что при сокращении сроков инкубации существует риск получения заниженных результатов испытаний (например, для медленнорастущих микроорганизмов с угнетенными физиологическими функциями или в случае взаимного подавления роста микроорганизмов). </w:t>
      </w:r>
    </w:p>
    <w:bookmarkEnd w:id="127"/>
    <w:bookmarkStart w:name="z131" w:id="128"/>
    <w:p>
      <w:pPr>
        <w:spacing w:after="0"/>
        <w:ind w:left="0"/>
        <w:jc w:val="both"/>
      </w:pPr>
      <w:r>
        <w:rPr>
          <w:rFonts w:ascii="Times New Roman"/>
          <w:b w:val="false"/>
          <w:i w:val="false"/>
          <w:color w:val="000000"/>
          <w:sz w:val="28"/>
        </w:rPr>
        <w:t>
      47. Допускается использовать универсальную питательную среду для контроля аэробных микроорганизмов (бактерий и грибов) (например, соево-казеиновый/триптиказо-соевый агар или соево-казеиновый /триптиказо-соевый бульон). Режим инкубации универсальной питательной среды следует подобрать на основе результатов анализа рисков в зависимости от вида микроорганизмов, которые предполагается выделить из производственной среды, и валидировать.</w:t>
      </w:r>
    </w:p>
    <w:bookmarkEnd w:id="128"/>
    <w:bookmarkStart w:name="z132" w:id="129"/>
    <w:p>
      <w:pPr>
        <w:spacing w:after="0"/>
        <w:ind w:left="0"/>
        <w:jc w:val="both"/>
      </w:pPr>
      <w:r>
        <w:rPr>
          <w:rFonts w:ascii="Times New Roman"/>
          <w:b w:val="false"/>
          <w:i w:val="false"/>
          <w:color w:val="000000"/>
          <w:sz w:val="28"/>
        </w:rPr>
        <w:t>
      48. Примеры режимов инкубации:</w:t>
      </w:r>
    </w:p>
    <w:bookmarkEnd w:id="129"/>
    <w:bookmarkStart w:name="z133" w:id="130"/>
    <w:p>
      <w:pPr>
        <w:spacing w:after="0"/>
        <w:ind w:left="0"/>
        <w:jc w:val="both"/>
      </w:pPr>
      <w:r>
        <w:rPr>
          <w:rFonts w:ascii="Times New Roman"/>
          <w:b w:val="false"/>
          <w:i w:val="false"/>
          <w:color w:val="000000"/>
          <w:sz w:val="28"/>
        </w:rPr>
        <w:t>
      инкубация 48 – 72 ч при температуре (22,5 ± 2,5) С, с последующей перестановкой на режим 48 – 72 ч при температуре (32,5 ± 2,5) С обеспечивает рост поврежденных и (или) медленнорастущих микроорганизмов. При обратной последовательности температурных режимов обнаружение поврежденных или медленнорастущих микроорганизмов может быть затруднительным;</w:t>
      </w:r>
    </w:p>
    <w:bookmarkEnd w:id="130"/>
    <w:bookmarkStart w:name="z134" w:id="131"/>
    <w:p>
      <w:pPr>
        <w:spacing w:after="0"/>
        <w:ind w:left="0"/>
        <w:jc w:val="both"/>
      </w:pPr>
      <w:r>
        <w:rPr>
          <w:rFonts w:ascii="Times New Roman"/>
          <w:b w:val="false"/>
          <w:i w:val="false"/>
          <w:color w:val="000000"/>
          <w:sz w:val="28"/>
        </w:rPr>
        <w:t>
      инкубация 48 – 72 ч при температуре (32,5 ± 2,5) С, с последующей перестановкой на режим 48 – 72 ч при температуре (22,5 ± 2,5) С обеспечивает быстрый рост кокковой флоры.</w:t>
      </w:r>
    </w:p>
    <w:bookmarkEnd w:id="131"/>
    <w:bookmarkStart w:name="z135" w:id="132"/>
    <w:p>
      <w:pPr>
        <w:spacing w:after="0"/>
        <w:ind w:left="0"/>
        <w:jc w:val="left"/>
      </w:pPr>
      <w:r>
        <w:rPr>
          <w:rFonts w:ascii="Times New Roman"/>
          <w:b/>
          <w:i w:val="false"/>
          <w:color w:val="000000"/>
        </w:rPr>
        <w:t xml:space="preserve"> 1. Время хранения и транспортировки отобранных проб</w:t>
      </w:r>
    </w:p>
    <w:bookmarkEnd w:id="132"/>
    <w:bookmarkStart w:name="z136" w:id="133"/>
    <w:p>
      <w:pPr>
        <w:spacing w:after="0"/>
        <w:ind w:left="0"/>
        <w:jc w:val="both"/>
      </w:pPr>
      <w:r>
        <w:rPr>
          <w:rFonts w:ascii="Times New Roman"/>
          <w:b w:val="false"/>
          <w:i w:val="false"/>
          <w:color w:val="000000"/>
          <w:sz w:val="28"/>
        </w:rPr>
        <w:t>
      49. Микробиологическое состояние пробы не должно меняться за промежуток времени между отбором пробы и проведением испытания. Время транспортировки и (или) хранения проб должно быть минимальным и определено валидацией.</w:t>
      </w:r>
    </w:p>
    <w:bookmarkEnd w:id="133"/>
    <w:bookmarkStart w:name="z137" w:id="134"/>
    <w:p>
      <w:pPr>
        <w:spacing w:after="0"/>
        <w:ind w:left="0"/>
        <w:jc w:val="left"/>
      </w:pPr>
      <w:r>
        <w:rPr>
          <w:rFonts w:ascii="Times New Roman"/>
          <w:b/>
          <w:i w:val="false"/>
          <w:color w:val="000000"/>
        </w:rPr>
        <w:t xml:space="preserve"> 2. Методы контроля воздуха</w:t>
      </w:r>
    </w:p>
    <w:bookmarkEnd w:id="134"/>
    <w:bookmarkStart w:name="z138" w:id="135"/>
    <w:p>
      <w:pPr>
        <w:spacing w:after="0"/>
        <w:ind w:left="0"/>
        <w:jc w:val="both"/>
      </w:pPr>
      <w:r>
        <w:rPr>
          <w:rFonts w:ascii="Times New Roman"/>
          <w:b w:val="false"/>
          <w:i w:val="false"/>
          <w:color w:val="000000"/>
          <w:sz w:val="28"/>
        </w:rPr>
        <w:t xml:space="preserve">
      50. Микробиологический мониторинг воздуха проводится с использованием комбинации седиментационного (пассивного) и аспирационного (активного) методов отбора проб воздуха. Периодичность комбинации устанавливается на основе анализа рисков. </w:t>
      </w:r>
    </w:p>
    <w:bookmarkEnd w:id="135"/>
    <w:bookmarkStart w:name="z139" w:id="136"/>
    <w:p>
      <w:pPr>
        <w:spacing w:after="0"/>
        <w:ind w:left="0"/>
        <w:jc w:val="both"/>
      </w:pPr>
      <w:r>
        <w:rPr>
          <w:rFonts w:ascii="Times New Roman"/>
          <w:b w:val="false"/>
          <w:i w:val="false"/>
          <w:color w:val="000000"/>
          <w:sz w:val="28"/>
        </w:rPr>
        <w:t xml:space="preserve">
      51. Если осуществляются асептические операции, требующие обеспечение непрерывного микробиологического мониторинга, для аспирационного метода возможно применение оборудования, обеспечивающего отбор проб воздуха во время всего производственного процесса. При отсутствии такого оборудования следует применять частоту отбора проб, установленную на основе анализа рисков, например: </w:t>
      </w:r>
    </w:p>
    <w:bookmarkEnd w:id="136"/>
    <w:bookmarkStart w:name="z140" w:id="137"/>
    <w:p>
      <w:pPr>
        <w:spacing w:after="0"/>
        <w:ind w:left="0"/>
        <w:jc w:val="both"/>
      </w:pPr>
      <w:r>
        <w:rPr>
          <w:rFonts w:ascii="Times New Roman"/>
          <w:b w:val="false"/>
          <w:i w:val="false"/>
          <w:color w:val="000000"/>
          <w:sz w:val="28"/>
        </w:rPr>
        <w:t xml:space="preserve">
      а) выборка в коротких интервалах времени (начало, середина и конец процесса асептического наполнения); </w:t>
      </w:r>
    </w:p>
    <w:bookmarkEnd w:id="137"/>
    <w:bookmarkStart w:name="z141" w:id="138"/>
    <w:p>
      <w:pPr>
        <w:spacing w:after="0"/>
        <w:ind w:left="0"/>
        <w:jc w:val="both"/>
      </w:pPr>
      <w:r>
        <w:rPr>
          <w:rFonts w:ascii="Times New Roman"/>
          <w:b w:val="false"/>
          <w:i w:val="false"/>
          <w:color w:val="000000"/>
          <w:sz w:val="28"/>
        </w:rPr>
        <w:t xml:space="preserve">
      б) отбор во время критических вмешательств, асептическая сборка оборудования и др. </w:t>
      </w:r>
    </w:p>
    <w:bookmarkEnd w:id="138"/>
    <w:bookmarkStart w:name="z142" w:id="139"/>
    <w:p>
      <w:pPr>
        <w:spacing w:after="0"/>
        <w:ind w:left="0"/>
        <w:jc w:val="left"/>
      </w:pPr>
      <w:r>
        <w:rPr>
          <w:rFonts w:ascii="Times New Roman"/>
          <w:b/>
          <w:i w:val="false"/>
          <w:color w:val="000000"/>
        </w:rPr>
        <w:t xml:space="preserve"> Седиментационный метод</w:t>
      </w:r>
    </w:p>
    <w:bookmarkEnd w:id="139"/>
    <w:bookmarkStart w:name="z143" w:id="140"/>
    <w:p>
      <w:pPr>
        <w:spacing w:after="0"/>
        <w:ind w:left="0"/>
        <w:jc w:val="both"/>
      </w:pPr>
      <w:r>
        <w:rPr>
          <w:rFonts w:ascii="Times New Roman"/>
          <w:b w:val="false"/>
          <w:i w:val="false"/>
          <w:color w:val="000000"/>
          <w:sz w:val="28"/>
        </w:rPr>
        <w:t xml:space="preserve">
      52. Седиментационный метод основан на оседании аэрозольных частиц с имеющимися на них микроорганизмами из воздуха производственной среды на горизонтальную поверхность питательной среды в течение определенного периода времени экспозиции. </w:t>
      </w:r>
    </w:p>
    <w:bookmarkEnd w:id="140"/>
    <w:bookmarkStart w:name="z144" w:id="141"/>
    <w:p>
      <w:pPr>
        <w:spacing w:after="0"/>
        <w:ind w:left="0"/>
        <w:jc w:val="both"/>
      </w:pPr>
      <w:r>
        <w:rPr>
          <w:rFonts w:ascii="Times New Roman"/>
          <w:b w:val="false"/>
          <w:i w:val="false"/>
          <w:color w:val="000000"/>
          <w:sz w:val="28"/>
        </w:rPr>
        <w:t>
      53. Седиментационные чашки (питательная среда в чашках Петри) подвергаются воздействию производственной среды не более 4 часов. Для зон классов А и В – подвергаются воздействию в течение всего времени осуществления операций (включая настройку оборудования) и заменяются в соответствии с требованиями не позднее чем через 4 часа. Время экспозиции следует основывать на валидации, включая исследования восстановления. Время экспозиции не должно оказывать негативного влияния на пригодность используемых сред.</w:t>
      </w:r>
    </w:p>
    <w:bookmarkEnd w:id="141"/>
    <w:bookmarkStart w:name="z145" w:id="142"/>
    <w:p>
      <w:pPr>
        <w:spacing w:after="0"/>
        <w:ind w:left="0"/>
        <w:jc w:val="both"/>
      </w:pPr>
      <w:r>
        <w:rPr>
          <w:rFonts w:ascii="Times New Roman"/>
          <w:b w:val="false"/>
          <w:i w:val="false"/>
          <w:color w:val="000000"/>
          <w:sz w:val="28"/>
        </w:rPr>
        <w:t>
      54. Отдельные седиментационные чашки могут подвергаться экспозиции менее 4 часов. В этом случае, при наличии роста колоний микроорганизмов, пересчет на 4 часа производить не требуется, так как максимальные пределы действия, указанные в приложении № 1 к Правилам производственной практики следует интерпретировать как пределы для воздействия до 4 часов.</w:t>
      </w:r>
    </w:p>
    <w:bookmarkEnd w:id="142"/>
    <w:bookmarkStart w:name="z146" w:id="143"/>
    <w:p>
      <w:pPr>
        <w:spacing w:after="0"/>
        <w:ind w:left="0"/>
        <w:jc w:val="both"/>
      </w:pPr>
      <w:r>
        <w:rPr>
          <w:rFonts w:ascii="Times New Roman"/>
          <w:b w:val="false"/>
          <w:i w:val="false"/>
          <w:color w:val="000000"/>
          <w:sz w:val="28"/>
        </w:rPr>
        <w:t>
      55. Преимущества седиментационного метода в простоте использования. Главными недостатками метода являются выявление только больших быстрооседающих живых частиц, неопределенность в объеме отобранной пробы, сильное влияние скорости и направления воздушного потока по отношению к поверхности среды на результат теста. Фактически данный метод является полуколичественным. Применение данного метода целесообразно только в сочетании с активным методом контроля микробной контаминации воздуха.</w:t>
      </w:r>
    </w:p>
    <w:bookmarkEnd w:id="143"/>
    <w:bookmarkStart w:name="z147" w:id="144"/>
    <w:p>
      <w:pPr>
        <w:spacing w:after="0"/>
        <w:ind w:left="0"/>
        <w:jc w:val="left"/>
      </w:pPr>
      <w:r>
        <w:rPr>
          <w:rFonts w:ascii="Times New Roman"/>
          <w:b/>
          <w:i w:val="false"/>
          <w:color w:val="000000"/>
        </w:rPr>
        <w:t xml:space="preserve"> Аспирационный метод</w:t>
      </w:r>
    </w:p>
    <w:bookmarkEnd w:id="144"/>
    <w:bookmarkStart w:name="z148" w:id="145"/>
    <w:p>
      <w:pPr>
        <w:spacing w:after="0"/>
        <w:ind w:left="0"/>
        <w:jc w:val="both"/>
      </w:pPr>
      <w:r>
        <w:rPr>
          <w:rFonts w:ascii="Times New Roman"/>
          <w:b w:val="false"/>
          <w:i w:val="false"/>
          <w:color w:val="000000"/>
          <w:sz w:val="28"/>
        </w:rPr>
        <w:t>
      56. Аспирационный метод позволяет определить число микроорганизмов в 1 м</w:t>
      </w:r>
      <w:r>
        <w:rPr>
          <w:rFonts w:ascii="Times New Roman"/>
          <w:b w:val="false"/>
          <w:i w:val="false"/>
          <w:color w:val="000000"/>
          <w:vertAlign w:val="superscript"/>
        </w:rPr>
        <w:t xml:space="preserve">3 </w:t>
      </w:r>
      <w:r>
        <w:rPr>
          <w:rFonts w:ascii="Times New Roman"/>
          <w:b w:val="false"/>
          <w:i w:val="false"/>
          <w:color w:val="000000"/>
          <w:sz w:val="28"/>
        </w:rPr>
        <w:t>с использованием специального оборудования (аспираторов), подлежащего периодической калибровке или поверке.</w:t>
      </w:r>
    </w:p>
    <w:bookmarkEnd w:id="145"/>
    <w:bookmarkStart w:name="z149" w:id="146"/>
    <w:p>
      <w:pPr>
        <w:spacing w:after="0"/>
        <w:ind w:left="0"/>
        <w:jc w:val="both"/>
      </w:pPr>
      <w:r>
        <w:rPr>
          <w:rFonts w:ascii="Times New Roman"/>
          <w:b w:val="false"/>
          <w:i w:val="false"/>
          <w:color w:val="000000"/>
          <w:sz w:val="28"/>
        </w:rPr>
        <w:t>
      57. Поскольку разные приборы для отбора проб различаются между собой, производителю следует провести оценку общей пригодности устройства для отбора проб в конкретных производственных условиях до его ввода в эксплуатацию (скорость (объемный расход), продолжительность и время отбора, объем отобранной воздушной пробы и др.)</w:t>
      </w:r>
    </w:p>
    <w:bookmarkEnd w:id="146"/>
    <w:bookmarkStart w:name="z150" w:id="147"/>
    <w:p>
      <w:pPr>
        <w:spacing w:after="0"/>
        <w:ind w:left="0"/>
        <w:jc w:val="both"/>
      </w:pPr>
      <w:r>
        <w:rPr>
          <w:rFonts w:ascii="Times New Roman"/>
          <w:b w:val="false"/>
          <w:i w:val="false"/>
          <w:color w:val="000000"/>
          <w:sz w:val="28"/>
        </w:rPr>
        <w:t xml:space="preserve">
      58. В зависимости от вида устройства для отбора проб при обработке полученных результатов может потребоваться применение статистической поправки для определения наиболее вероятного числа микроорганизмов в пробе (поправка Феллера). Обычно информация о допустимости применения такой поправки указана в руководстве по эксплуатации устройства. </w:t>
      </w:r>
    </w:p>
    <w:bookmarkEnd w:id="147"/>
    <w:bookmarkStart w:name="z151" w:id="148"/>
    <w:p>
      <w:pPr>
        <w:spacing w:after="0"/>
        <w:ind w:left="0"/>
        <w:jc w:val="both"/>
      </w:pPr>
      <w:r>
        <w:rPr>
          <w:rFonts w:ascii="Times New Roman"/>
          <w:b w:val="false"/>
          <w:i w:val="false"/>
          <w:color w:val="000000"/>
          <w:sz w:val="28"/>
        </w:rPr>
        <w:t xml:space="preserve">
      59. Устройство для отбора проб следует выбирать исходя из особенностей зоны, где оно будет применяться, с учетом факторов, изложенных в ГОСТ ИСО 14698-1 "Чистые помещения и связанные с ними контролируемые среды. Контроль биозагрязнений. Часть 1. Общие принципы и методы". </w:t>
      </w:r>
    </w:p>
    <w:bookmarkEnd w:id="148"/>
    <w:bookmarkStart w:name="z152" w:id="149"/>
    <w:p>
      <w:pPr>
        <w:spacing w:after="0"/>
        <w:ind w:left="0"/>
        <w:jc w:val="both"/>
      </w:pPr>
      <w:r>
        <w:rPr>
          <w:rFonts w:ascii="Times New Roman"/>
          <w:b w:val="false"/>
          <w:i w:val="false"/>
          <w:color w:val="000000"/>
          <w:sz w:val="28"/>
        </w:rPr>
        <w:t>
      60. В каждой контрольной точке отбирают пробы в две чашки Петри – одна с питательной средой для выращивания бактерий и одна с питательной средой для выращивания грибов.</w:t>
      </w:r>
    </w:p>
    <w:bookmarkEnd w:id="149"/>
    <w:bookmarkStart w:name="z153" w:id="150"/>
    <w:p>
      <w:pPr>
        <w:spacing w:after="0"/>
        <w:ind w:left="0"/>
        <w:jc w:val="both"/>
      </w:pPr>
      <w:r>
        <w:rPr>
          <w:rFonts w:ascii="Times New Roman"/>
          <w:b w:val="false"/>
          <w:i w:val="false"/>
          <w:color w:val="000000"/>
          <w:sz w:val="28"/>
        </w:rPr>
        <w:t>
      61. В случае использования универсальной питательной среды допускается производить отбор проб в контрольной точке на одну чашку.</w:t>
      </w:r>
    </w:p>
    <w:bookmarkEnd w:id="150"/>
    <w:bookmarkStart w:name="z154" w:id="151"/>
    <w:p>
      <w:pPr>
        <w:spacing w:after="0"/>
        <w:ind w:left="0"/>
        <w:jc w:val="both"/>
      </w:pPr>
      <w:r>
        <w:rPr>
          <w:rFonts w:ascii="Times New Roman"/>
          <w:b w:val="false"/>
          <w:i w:val="false"/>
          <w:color w:val="000000"/>
          <w:sz w:val="28"/>
        </w:rPr>
        <w:t>
      62. Объем пробы воздуха, отбираемой в помещениях класса А и В, должен составлять не менее 1 м</w:t>
      </w:r>
      <w:r>
        <w:rPr>
          <w:rFonts w:ascii="Times New Roman"/>
          <w:b w:val="false"/>
          <w:i w:val="false"/>
          <w:color w:val="000000"/>
          <w:vertAlign w:val="superscript"/>
        </w:rPr>
        <w:t>3</w:t>
      </w:r>
      <w:r>
        <w:rPr>
          <w:rFonts w:ascii="Times New Roman"/>
          <w:b w:val="false"/>
          <w:i w:val="false"/>
          <w:color w:val="000000"/>
          <w:sz w:val="28"/>
        </w:rPr>
        <w:t>, в классах чистоты С и D допускается сокращение объема отбора пробы и проведение соответствующих перерасчетов полученных результатов на объем 1 м</w:t>
      </w:r>
      <w:r>
        <w:rPr>
          <w:rFonts w:ascii="Times New Roman"/>
          <w:b w:val="false"/>
          <w:i w:val="false"/>
          <w:color w:val="000000"/>
          <w:vertAlign w:val="superscript"/>
        </w:rPr>
        <w:t>3</w:t>
      </w:r>
      <w:r>
        <w:rPr>
          <w:rFonts w:ascii="Times New Roman"/>
          <w:b w:val="false"/>
          <w:i w:val="false"/>
          <w:color w:val="000000"/>
          <w:sz w:val="28"/>
        </w:rPr>
        <w:t>.</w:t>
      </w:r>
    </w:p>
    <w:bookmarkEnd w:id="151"/>
    <w:bookmarkStart w:name="z155" w:id="152"/>
    <w:p>
      <w:pPr>
        <w:spacing w:after="0"/>
        <w:ind w:left="0"/>
        <w:jc w:val="left"/>
      </w:pPr>
      <w:r>
        <w:rPr>
          <w:rFonts w:ascii="Times New Roman"/>
          <w:b/>
          <w:i w:val="false"/>
          <w:color w:val="000000"/>
        </w:rPr>
        <w:t xml:space="preserve"> 3. Методы контроля поверхностей</w:t>
      </w:r>
    </w:p>
    <w:bookmarkEnd w:id="152"/>
    <w:bookmarkStart w:name="z156" w:id="153"/>
    <w:p>
      <w:pPr>
        <w:spacing w:after="0"/>
        <w:ind w:left="0"/>
        <w:jc w:val="both"/>
      </w:pPr>
      <w:r>
        <w:rPr>
          <w:rFonts w:ascii="Times New Roman"/>
          <w:b w:val="false"/>
          <w:i w:val="false"/>
          <w:color w:val="000000"/>
          <w:sz w:val="28"/>
        </w:rPr>
        <w:t xml:space="preserve">
      63. При мониторинге поверхностей отбор проб проводится методом контактных пластин (метод реплик или отпечатков) с использованием чашек Петри (Родака) диаметром 55 мм (контактных пластин известной площади) или методом смыва с использованием стерильных тампонов (свабов). Используемый метод отбора проб следует обосновать. </w:t>
      </w:r>
    </w:p>
    <w:bookmarkEnd w:id="153"/>
    <w:bookmarkStart w:name="z157" w:id="154"/>
    <w:p>
      <w:pPr>
        <w:spacing w:after="0"/>
        <w:ind w:left="0"/>
        <w:jc w:val="both"/>
      </w:pPr>
      <w:r>
        <w:rPr>
          <w:rFonts w:ascii="Times New Roman"/>
          <w:b w:val="false"/>
          <w:i w:val="false"/>
          <w:color w:val="000000"/>
          <w:sz w:val="28"/>
        </w:rPr>
        <w:t>
      64. Для микробиологического мониторинга перчаток персонала следует использовать метод отпечатка (5 пальцев, с обеих рук) или метод смыва с использованием стерильных тампонов (свабов). Используемый метод отбора проб следует обосновать.</w:t>
      </w:r>
    </w:p>
    <w:bookmarkEnd w:id="154"/>
    <w:bookmarkStart w:name="z158" w:id="155"/>
    <w:p>
      <w:pPr>
        <w:spacing w:after="0"/>
        <w:ind w:left="0"/>
        <w:jc w:val="both"/>
      </w:pPr>
      <w:r>
        <w:rPr>
          <w:rFonts w:ascii="Times New Roman"/>
          <w:b w:val="false"/>
          <w:i w:val="false"/>
          <w:color w:val="000000"/>
          <w:sz w:val="28"/>
        </w:rPr>
        <w:t xml:space="preserve">
      65. При контроле микробной контаминации поверхностей, которые могут содержать остаточные количества дезинфицирующих средств, антимикробных препаратов (например, антибиотиков), для предотвращения риска подавления роста микроорганизмов, вызванного действием различных химических веществ, рекомендуется применять среды, содержащие нейтрализаторы. Если в качестве нейтрализаторов используются вещества, не указанные в Фармакопее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августа 2020 г. № 100 (далее – Фармакопея Союза), или концентрация используемых фармакопейных нейтрализаторов отличается от концентрации, указанной в Фармакопее Союза, применимость таких нейтрализаторов и эффективность нейтрализации химических веществ (в той концентрации, которая фактически имеется на контролируемых поверхностях) следует подтвердить при валидации методик контроля микробной контаминации поверхностей.</w:t>
      </w:r>
    </w:p>
    <w:bookmarkEnd w:id="155"/>
    <w:bookmarkStart w:name="z159" w:id="156"/>
    <w:p>
      <w:pPr>
        <w:spacing w:after="0"/>
        <w:ind w:left="0"/>
        <w:jc w:val="left"/>
      </w:pPr>
      <w:r>
        <w:rPr>
          <w:rFonts w:ascii="Times New Roman"/>
          <w:b/>
          <w:i w:val="false"/>
          <w:color w:val="000000"/>
        </w:rPr>
        <w:t xml:space="preserve"> Метод контактных пластин</w:t>
      </w:r>
    </w:p>
    <w:bookmarkEnd w:id="156"/>
    <w:bookmarkStart w:name="z160" w:id="157"/>
    <w:p>
      <w:pPr>
        <w:spacing w:after="0"/>
        <w:ind w:left="0"/>
        <w:jc w:val="both"/>
      </w:pPr>
      <w:r>
        <w:rPr>
          <w:rFonts w:ascii="Times New Roman"/>
          <w:b w:val="false"/>
          <w:i w:val="false"/>
          <w:color w:val="000000"/>
          <w:sz w:val="28"/>
        </w:rPr>
        <w:t>
      66. Сущность метода контактных пластин заключается в следующем: контактные пластины с агаризованной питательной средой прикладывают к исследуемой поверхности и выдерживают в течение 3 – 5 секунд (время контакта) при одинаковом давлении на исследуемую поверхность, при этом контактные пластины, используемые на плоских поверхностях, не допускается поворачивать. При практическом обучении персонала силу давления можно продемонстрировать, используя весы (показания весов при этом ориентировочно должны быть около 400 г). Для стандартизации отбора проб контактным методом допускается использовать специализированное оборудование (например, специализированные аппликаторы для контактных пластин, позволяющие стандартизировать силу давления).</w:t>
      </w:r>
    </w:p>
    <w:bookmarkEnd w:id="157"/>
    <w:bookmarkStart w:name="z161" w:id="158"/>
    <w:p>
      <w:pPr>
        <w:spacing w:after="0"/>
        <w:ind w:left="0"/>
        <w:jc w:val="both"/>
      </w:pPr>
      <w:r>
        <w:rPr>
          <w:rFonts w:ascii="Times New Roman"/>
          <w:b w:val="false"/>
          <w:i w:val="false"/>
          <w:color w:val="000000"/>
          <w:sz w:val="28"/>
        </w:rPr>
        <w:t xml:space="preserve">
      67. После проведенного отбора пробы контролируемую поверхность следует очистить от остатков питательной среды и продезинфицировать. </w:t>
      </w:r>
    </w:p>
    <w:bookmarkEnd w:id="158"/>
    <w:bookmarkStart w:name="z162" w:id="159"/>
    <w:p>
      <w:pPr>
        <w:spacing w:after="0"/>
        <w:ind w:left="0"/>
        <w:jc w:val="left"/>
      </w:pPr>
      <w:r>
        <w:rPr>
          <w:rFonts w:ascii="Times New Roman"/>
          <w:b/>
          <w:i w:val="false"/>
          <w:color w:val="000000"/>
        </w:rPr>
        <w:t xml:space="preserve"> Метод смыва тампоном (свабом)</w:t>
      </w:r>
    </w:p>
    <w:bookmarkEnd w:id="159"/>
    <w:bookmarkStart w:name="z163" w:id="160"/>
    <w:p>
      <w:pPr>
        <w:spacing w:after="0"/>
        <w:ind w:left="0"/>
        <w:jc w:val="both"/>
      </w:pPr>
      <w:r>
        <w:rPr>
          <w:rFonts w:ascii="Times New Roman"/>
          <w:b w:val="false"/>
          <w:i w:val="false"/>
          <w:color w:val="000000"/>
          <w:sz w:val="28"/>
        </w:rPr>
        <w:t xml:space="preserve">
      68. Сущность метода заключается в смыве тампоном (свабом), увлажненным стерильной средой, участка контролируемой поверхности (далее по тексту – площадь смыва). </w:t>
      </w:r>
    </w:p>
    <w:bookmarkEnd w:id="160"/>
    <w:p>
      <w:pPr>
        <w:spacing w:after="0"/>
        <w:ind w:left="0"/>
        <w:jc w:val="both"/>
      </w:pPr>
      <w:bookmarkStart w:name="z164" w:id="161"/>
      <w:r>
        <w:rPr>
          <w:rFonts w:ascii="Times New Roman"/>
          <w:b w:val="false"/>
          <w:i w:val="false"/>
          <w:color w:val="000000"/>
          <w:sz w:val="28"/>
        </w:rPr>
        <w:t>
      69. Площадь смыва может варьироваться от 25 до 100 см</w:t>
      </w:r>
      <w:r>
        <w:rPr>
          <w:rFonts w:ascii="Times New Roman"/>
          <w:b w:val="false"/>
          <w:i w:val="false"/>
          <w:color w:val="000000"/>
          <w:vertAlign w:val="superscript"/>
        </w:rPr>
        <w:t>2</w:t>
      </w:r>
      <w:r>
        <w:rPr>
          <w:rFonts w:ascii="Times New Roman"/>
          <w:b w:val="false"/>
          <w:i w:val="false"/>
          <w:color w:val="000000"/>
          <w:sz w:val="28"/>
        </w:rPr>
        <w:t xml:space="preserve">. Площадь смыва зависит от критичности объекта контроля, класса чистоты помещения (зоны), площади контролируемого объекта, ожидаемого уровня микробной контаминации и др. Производителю следует самостоятельно выбрать значение площади смыва в пределах </w:t>
      </w:r>
    </w:p>
    <w:bookmarkEnd w:id="161"/>
    <w:p>
      <w:pPr>
        <w:spacing w:after="0"/>
        <w:ind w:left="0"/>
        <w:jc w:val="both"/>
      </w:pPr>
      <w:r>
        <w:rPr>
          <w:rFonts w:ascii="Times New Roman"/>
          <w:b w:val="false"/>
          <w:i w:val="false"/>
          <w:color w:val="000000"/>
          <w:sz w:val="28"/>
        </w:rPr>
        <w:t>25 – 100 см</w:t>
      </w:r>
      <w:r>
        <w:rPr>
          <w:rFonts w:ascii="Times New Roman"/>
          <w:b w:val="false"/>
          <w:i w:val="false"/>
          <w:color w:val="000000"/>
          <w:vertAlign w:val="superscript"/>
        </w:rPr>
        <w:t>2</w:t>
      </w:r>
      <w:r>
        <w:rPr>
          <w:rFonts w:ascii="Times New Roman"/>
          <w:b w:val="false"/>
          <w:i w:val="false"/>
          <w:color w:val="000000"/>
          <w:sz w:val="28"/>
        </w:rPr>
        <w:t xml:space="preserve">, основываясь на принципах управления рисками для качества, а также учитывая процент извлечения, установленный при валидации метода смыва. </w:t>
      </w:r>
    </w:p>
    <w:bookmarkStart w:name="z165" w:id="162"/>
    <w:p>
      <w:pPr>
        <w:spacing w:after="0"/>
        <w:ind w:left="0"/>
        <w:jc w:val="both"/>
      </w:pPr>
      <w:r>
        <w:rPr>
          <w:rFonts w:ascii="Times New Roman"/>
          <w:b w:val="false"/>
          <w:i w:val="false"/>
          <w:color w:val="000000"/>
          <w:sz w:val="28"/>
        </w:rPr>
        <w:t xml:space="preserve">
      70. В качестве среды для увлажнения тампона (сваба) следует использовать фосфатный буферный раствор с натрия хлоридом и пептоном (рН 7.0) или 0,9 % раствор натрия хлорида (физиологический раствор) или иную допустимую среду промышленного производства, поставляемую в пробирках со стерильными тампонами (свабами). </w:t>
      </w:r>
    </w:p>
    <w:bookmarkEnd w:id="162"/>
    <w:bookmarkStart w:name="z166" w:id="163"/>
    <w:p>
      <w:pPr>
        <w:spacing w:after="0"/>
        <w:ind w:left="0"/>
        <w:jc w:val="both"/>
      </w:pPr>
      <w:r>
        <w:rPr>
          <w:rFonts w:ascii="Times New Roman"/>
          <w:b w:val="false"/>
          <w:i w:val="false"/>
          <w:color w:val="000000"/>
          <w:sz w:val="28"/>
        </w:rPr>
        <w:t>
      71. Объем стерильной среды в пробирке.</w:t>
      </w:r>
    </w:p>
    <w:bookmarkEnd w:id="163"/>
    <w:bookmarkStart w:name="z167" w:id="164"/>
    <w:p>
      <w:pPr>
        <w:spacing w:after="0"/>
        <w:ind w:left="0"/>
        <w:jc w:val="both"/>
      </w:pPr>
      <w:r>
        <w:rPr>
          <w:rFonts w:ascii="Times New Roman"/>
          <w:b w:val="false"/>
          <w:i w:val="false"/>
          <w:color w:val="000000"/>
          <w:sz w:val="28"/>
        </w:rPr>
        <w:t>
      При посеве смыва на питательную среду поверхностным методом (штрихом) объем стерильной среды в пробирке должен быть достаточным только для увлажнения тампона (сваба) (1 – 2 мл). Не допускается после отбора смыва погружать тампон (сваб) в стерильную среду, содержащуюся в пробирке.</w:t>
      </w:r>
    </w:p>
    <w:bookmarkEnd w:id="164"/>
    <w:bookmarkStart w:name="z168" w:id="165"/>
    <w:p>
      <w:pPr>
        <w:spacing w:after="0"/>
        <w:ind w:left="0"/>
        <w:jc w:val="both"/>
      </w:pPr>
      <w:r>
        <w:rPr>
          <w:rFonts w:ascii="Times New Roman"/>
          <w:b w:val="false"/>
          <w:i w:val="false"/>
          <w:color w:val="000000"/>
          <w:sz w:val="28"/>
        </w:rPr>
        <w:t>
      При посеве смыва глубинным методом объем стерильной среды в пробирке должен быть достаточным для ополаскивания тампона (сваба) (2 – 10 мл). При интерпретации результатов необходимо учитывать объем, взятый для посева, и общий объем среды в пробирке. Например, при посеве 1 мл смывной жидкости, полученной путем ополаскивания тампона в 10 мл стерильной среды, следует провести пересчет, умножив полученный результат на 10.</w:t>
      </w:r>
    </w:p>
    <w:bookmarkEnd w:id="165"/>
    <w:bookmarkStart w:name="z169" w:id="166"/>
    <w:p>
      <w:pPr>
        <w:spacing w:after="0"/>
        <w:ind w:left="0"/>
        <w:jc w:val="both"/>
      </w:pPr>
      <w:r>
        <w:rPr>
          <w:rFonts w:ascii="Times New Roman"/>
          <w:b w:val="false"/>
          <w:i w:val="false"/>
          <w:color w:val="000000"/>
          <w:sz w:val="28"/>
        </w:rPr>
        <w:t>
      72. Техника взятия смыва.</w:t>
      </w:r>
    </w:p>
    <w:bookmarkEnd w:id="166"/>
    <w:bookmarkStart w:name="z170" w:id="167"/>
    <w:p>
      <w:pPr>
        <w:spacing w:after="0"/>
        <w:ind w:left="0"/>
        <w:jc w:val="both"/>
      </w:pPr>
      <w:r>
        <w:rPr>
          <w:rFonts w:ascii="Times New Roman"/>
          <w:b w:val="false"/>
          <w:i w:val="false"/>
          <w:color w:val="000000"/>
          <w:sz w:val="28"/>
        </w:rPr>
        <w:t>
      На месте взятия смыва тампон (сваб), наклонив пробирку, увлажняют стерильной средой, содержащейся в пробирке. Смыв производят тампоном (свабом), расположенным под наклоном к контролируемой поверхности, как показано на рисунке 2, тщательно протирая поверхность аккуратными движениями близко расположенными линиями-штрихами, исключая просветы между штрихами. Затем такими же движениями производят смыв в направлении, перпендикулярном предыдущему направлению (как показано на рисунке 3).</w:t>
      </w:r>
    </w:p>
    <w:bookmarkEnd w:id="167"/>
    <w:bookmarkStart w:name="z17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209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Рисунок 2. Расположение тампона (сваба) при выполнении смыва.</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Рисунок 3. Направление движений тампона (сваба) при выполнении смыва.</w:t>
      </w:r>
    </w:p>
    <w:bookmarkEnd w:id="170"/>
    <w:bookmarkStart w:name="z174" w:id="171"/>
    <w:p>
      <w:pPr>
        <w:spacing w:after="0"/>
        <w:ind w:left="0"/>
        <w:jc w:val="both"/>
      </w:pPr>
      <w:r>
        <w:rPr>
          <w:rFonts w:ascii="Times New Roman"/>
          <w:b w:val="false"/>
          <w:i w:val="false"/>
          <w:color w:val="000000"/>
          <w:sz w:val="28"/>
        </w:rPr>
        <w:t>
      73. Поверхностный метод посева (штрихом).</w:t>
      </w:r>
    </w:p>
    <w:bookmarkEnd w:id="171"/>
    <w:bookmarkStart w:name="z175" w:id="172"/>
    <w:p>
      <w:pPr>
        <w:spacing w:after="0"/>
        <w:ind w:left="0"/>
        <w:jc w:val="both"/>
      </w:pPr>
      <w:r>
        <w:rPr>
          <w:rFonts w:ascii="Times New Roman"/>
          <w:b w:val="false"/>
          <w:i w:val="false"/>
          <w:color w:val="000000"/>
          <w:sz w:val="28"/>
        </w:rPr>
        <w:t>
      До начала посева тампон (сваб) должен оставаться влажным. Посев осуществляется влажным тампоном по всей поверхности агара в чашке Петри параллельными близко расположенными линиями в одном направлении, не меняя степень нажатия, но прокручивая тампон (сваб) вдоль оси. Каждое новое движение не должно перекрывать предыдущее, как показано на рисунке 4.</w:t>
      </w:r>
    </w:p>
    <w:bookmarkEnd w:id="172"/>
    <w:bookmarkStart w:name="z176" w:id="173"/>
    <w:p>
      <w:pPr>
        <w:spacing w:after="0"/>
        <w:ind w:left="0"/>
        <w:jc w:val="both"/>
      </w:pPr>
      <w:r>
        <w:rPr>
          <w:rFonts w:ascii="Times New Roman"/>
          <w:b w:val="false"/>
          <w:i w:val="false"/>
          <w:color w:val="000000"/>
          <w:sz w:val="28"/>
        </w:rPr>
        <w:t>
      Следует учитывать, что результат может зависеть от техники исполнения: угол наклона тампона (сваба), сила давления на тампон, количество сделанных штрихов и др.</w:t>
      </w:r>
    </w:p>
    <w:bookmarkEnd w:id="173"/>
    <w:bookmarkStart w:name="z17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2565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65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5"/>
    <w:p>
      <w:pPr>
        <w:spacing w:after="0"/>
        <w:ind w:left="0"/>
        <w:jc w:val="both"/>
      </w:pPr>
      <w:r>
        <w:rPr>
          <w:rFonts w:ascii="Times New Roman"/>
          <w:b w:val="false"/>
          <w:i w:val="false"/>
          <w:color w:val="000000"/>
          <w:sz w:val="28"/>
        </w:rPr>
        <w:t>
      Рисунок 4. Направление движений тампона (сваба) при выполнении посева.</w:t>
      </w:r>
    </w:p>
    <w:bookmarkEnd w:id="175"/>
    <w:bookmarkStart w:name="z179" w:id="176"/>
    <w:p>
      <w:pPr>
        <w:spacing w:after="0"/>
        <w:ind w:left="0"/>
        <w:jc w:val="both"/>
      </w:pPr>
      <w:r>
        <w:rPr>
          <w:rFonts w:ascii="Times New Roman"/>
          <w:b w:val="false"/>
          <w:i w:val="false"/>
          <w:color w:val="000000"/>
          <w:sz w:val="28"/>
        </w:rPr>
        <w:t>
      74. Глубинный метод посева.</w:t>
      </w:r>
    </w:p>
    <w:bookmarkEnd w:id="176"/>
    <w:bookmarkStart w:name="z180" w:id="177"/>
    <w:p>
      <w:pPr>
        <w:spacing w:after="0"/>
        <w:ind w:left="0"/>
        <w:jc w:val="both"/>
      </w:pPr>
      <w:r>
        <w:rPr>
          <w:rFonts w:ascii="Times New Roman"/>
          <w:b w:val="false"/>
          <w:i w:val="false"/>
          <w:color w:val="000000"/>
          <w:sz w:val="28"/>
        </w:rPr>
        <w:t>
      Перед проведением посева тампон (сваб) тщательно ополаскивают с целью извлечения микроорганизмов в смывную жидкость. Посев производят глубинным методом согласно требованиям Фармакопеи Союза.</w:t>
      </w:r>
    </w:p>
    <w:bookmarkEnd w:id="177"/>
    <w:bookmarkStart w:name="z181" w:id="178"/>
    <w:p>
      <w:pPr>
        <w:spacing w:after="0"/>
        <w:ind w:left="0"/>
        <w:jc w:val="both"/>
      </w:pPr>
      <w:r>
        <w:rPr>
          <w:rFonts w:ascii="Times New Roman"/>
          <w:b w:val="false"/>
          <w:i w:val="false"/>
          <w:color w:val="000000"/>
          <w:sz w:val="28"/>
        </w:rPr>
        <w:t>
      В случае подтвержденного валидацией ингибирующего воздействия остаточного количества антимикробного вещества, попадающего в смывную жидкость при отборе пробы, которое не удалось устранить другими методами, рекомендуется использовать метод мембранной фильтрации.</w:t>
      </w:r>
    </w:p>
    <w:bookmarkEnd w:id="178"/>
    <w:bookmarkStart w:name="z182" w:id="179"/>
    <w:p>
      <w:pPr>
        <w:spacing w:after="0"/>
        <w:ind w:left="0"/>
        <w:jc w:val="both"/>
      </w:pPr>
      <w:r>
        <w:rPr>
          <w:rFonts w:ascii="Times New Roman"/>
          <w:b w:val="false"/>
          <w:i w:val="false"/>
          <w:color w:val="000000"/>
          <w:sz w:val="28"/>
        </w:rPr>
        <w:t>
      75. Метод отпечатка.</w:t>
      </w:r>
    </w:p>
    <w:bookmarkEnd w:id="179"/>
    <w:bookmarkStart w:name="z183" w:id="180"/>
    <w:p>
      <w:pPr>
        <w:spacing w:after="0"/>
        <w:ind w:left="0"/>
        <w:jc w:val="both"/>
      </w:pPr>
      <w:r>
        <w:rPr>
          <w:rFonts w:ascii="Times New Roman"/>
          <w:b w:val="false"/>
          <w:i w:val="false"/>
          <w:color w:val="000000"/>
          <w:sz w:val="28"/>
        </w:rPr>
        <w:t>
      Отбор проб производится с обеих рук. Для каждой руки используется 1 контактная пластина или чашка Петри. Для микробиологического мониторинга рук в перчатках следует поочередно сделать отпечатки пяти пальцев обеих рук на поверхность агара (контактной пластины или чашки Петри). Чтобы касание было полным, поочередно сделать касание не менее 5 секунд каждым пальцем обеих рук по поверхности агара таким образом, чтобы отпечатки не накладывались друг на друга (как показано на рисунке 5).</w:t>
      </w:r>
    </w:p>
    <w:bookmarkEnd w:id="180"/>
    <w:bookmarkStart w:name="z18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277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Рисунок 5. Техника отбора проб методом отпечатка.</w:t>
      </w:r>
    </w:p>
    <w:bookmarkEnd w:id="182"/>
    <w:bookmarkStart w:name="z186" w:id="183"/>
    <w:p>
      <w:pPr>
        <w:spacing w:after="0"/>
        <w:ind w:left="0"/>
        <w:jc w:val="left"/>
      </w:pPr>
      <w:r>
        <w:rPr>
          <w:rFonts w:ascii="Times New Roman"/>
          <w:b/>
          <w:i w:val="false"/>
          <w:color w:val="000000"/>
        </w:rPr>
        <w:t xml:space="preserve"> VI. Периодичность контроля</w:t>
      </w:r>
    </w:p>
    <w:bookmarkEnd w:id="183"/>
    <w:bookmarkStart w:name="z187" w:id="184"/>
    <w:p>
      <w:pPr>
        <w:spacing w:after="0"/>
        <w:ind w:left="0"/>
        <w:jc w:val="both"/>
      </w:pPr>
      <w:r>
        <w:rPr>
          <w:rFonts w:ascii="Times New Roman"/>
          <w:b w:val="false"/>
          <w:i w:val="false"/>
          <w:color w:val="000000"/>
          <w:sz w:val="28"/>
        </w:rPr>
        <w:t xml:space="preserve">
      76. Задачей микробиологического мониторинга является своевременное выявление отклонения и вероятного пути загрязнения контролируемых объектов производственной среды, при котором обеспечивается возможность внедрения своевременных и эффективных мероприятий, предупреждающих загрязнение продукта. Периодичность отбора проб, установленная программой мониторинга, должна обеспечивать выполнение данной задачи. </w:t>
      </w:r>
    </w:p>
    <w:bookmarkEnd w:id="184"/>
    <w:bookmarkStart w:name="z188" w:id="185"/>
    <w:p>
      <w:pPr>
        <w:spacing w:after="0"/>
        <w:ind w:left="0"/>
        <w:jc w:val="both"/>
      </w:pPr>
      <w:r>
        <w:rPr>
          <w:rFonts w:ascii="Times New Roman"/>
          <w:b w:val="false"/>
          <w:i w:val="false"/>
          <w:color w:val="000000"/>
          <w:sz w:val="28"/>
        </w:rPr>
        <w:t xml:space="preserve">
      77. Периодичность мониторинга в помещениях класса А и В производства стерильных лекарственных средств установлена в приложении № 1 к Правилам производственной практики. Производителю следует придерживаться установленной периодичности мониторинга. Изменять периодичность допускается только в сторону ужесточения. </w:t>
      </w:r>
    </w:p>
    <w:bookmarkEnd w:id="185"/>
    <w:bookmarkStart w:name="z189" w:id="186"/>
    <w:p>
      <w:pPr>
        <w:spacing w:after="0"/>
        <w:ind w:left="0"/>
        <w:jc w:val="both"/>
      </w:pPr>
      <w:r>
        <w:rPr>
          <w:rFonts w:ascii="Times New Roman"/>
          <w:b w:val="false"/>
          <w:i w:val="false"/>
          <w:color w:val="000000"/>
          <w:sz w:val="28"/>
        </w:rPr>
        <w:t xml:space="preserve">
      78. Если осуществляются асептические операции, мониторинг также должен проводиться внутри чистых помещений (зон), когда не осуществляются обычные производственные операции (например, перед началом производства, при завершении серии, а также после периода остановки). </w:t>
      </w:r>
    </w:p>
    <w:bookmarkEnd w:id="186"/>
    <w:bookmarkStart w:name="z190" w:id="187"/>
    <w:p>
      <w:pPr>
        <w:spacing w:after="0"/>
        <w:ind w:left="0"/>
        <w:jc w:val="both"/>
      </w:pPr>
      <w:r>
        <w:rPr>
          <w:rFonts w:ascii="Times New Roman"/>
          <w:b w:val="false"/>
          <w:i w:val="false"/>
          <w:color w:val="000000"/>
          <w:sz w:val="28"/>
        </w:rPr>
        <w:t xml:space="preserve">
      79. Для объектов с меньшей степенью критичности производитель самостоятельно устанавливает периодичность микробиологического контроля в соответствии с принципами управления рисками для качества. Установленную периодичность следует документально обосновать. </w:t>
      </w:r>
    </w:p>
    <w:bookmarkEnd w:id="187"/>
    <w:bookmarkStart w:name="z191" w:id="188"/>
    <w:p>
      <w:pPr>
        <w:spacing w:after="0"/>
        <w:ind w:left="0"/>
        <w:jc w:val="both"/>
      </w:pPr>
      <w:r>
        <w:rPr>
          <w:rFonts w:ascii="Times New Roman"/>
          <w:b w:val="false"/>
          <w:i w:val="false"/>
          <w:color w:val="000000"/>
          <w:sz w:val="28"/>
        </w:rPr>
        <w:t>
      80. При определении периодичности отбора проб следует учитывать результаты микробиологического контроля производственной среды за прошедший период.</w:t>
      </w:r>
    </w:p>
    <w:bookmarkEnd w:id="188"/>
    <w:bookmarkStart w:name="z192" w:id="189"/>
    <w:p>
      <w:pPr>
        <w:spacing w:after="0"/>
        <w:ind w:left="0"/>
        <w:jc w:val="both"/>
      </w:pPr>
      <w:r>
        <w:rPr>
          <w:rFonts w:ascii="Times New Roman"/>
          <w:b w:val="false"/>
          <w:i w:val="false"/>
          <w:color w:val="000000"/>
          <w:sz w:val="28"/>
        </w:rPr>
        <w:t>
      81. Периодичность проведения микробиологического мониторинга может значительно варьироваться в зависимости от следующих факторов (но не ограничиваться ими):</w:t>
      </w:r>
    </w:p>
    <w:bookmarkEnd w:id="189"/>
    <w:bookmarkStart w:name="z193" w:id="190"/>
    <w:p>
      <w:pPr>
        <w:spacing w:after="0"/>
        <w:ind w:left="0"/>
        <w:jc w:val="both"/>
      </w:pPr>
      <w:r>
        <w:rPr>
          <w:rFonts w:ascii="Times New Roman"/>
          <w:b w:val="false"/>
          <w:i w:val="false"/>
          <w:color w:val="000000"/>
          <w:sz w:val="28"/>
        </w:rPr>
        <w:t xml:space="preserve">
      а) тип производимого продукта; </w:t>
      </w:r>
    </w:p>
    <w:bookmarkEnd w:id="190"/>
    <w:bookmarkStart w:name="z194" w:id="191"/>
    <w:p>
      <w:pPr>
        <w:spacing w:after="0"/>
        <w:ind w:left="0"/>
        <w:jc w:val="both"/>
      </w:pPr>
      <w:r>
        <w:rPr>
          <w:rFonts w:ascii="Times New Roman"/>
          <w:b w:val="false"/>
          <w:i w:val="false"/>
          <w:color w:val="000000"/>
          <w:sz w:val="28"/>
        </w:rPr>
        <w:t>
      б) длительность производственных кампаний;</w:t>
      </w:r>
    </w:p>
    <w:bookmarkEnd w:id="191"/>
    <w:bookmarkStart w:name="z195" w:id="192"/>
    <w:p>
      <w:pPr>
        <w:spacing w:after="0"/>
        <w:ind w:left="0"/>
        <w:jc w:val="both"/>
      </w:pPr>
      <w:r>
        <w:rPr>
          <w:rFonts w:ascii="Times New Roman"/>
          <w:b w:val="false"/>
          <w:i w:val="false"/>
          <w:color w:val="000000"/>
          <w:sz w:val="28"/>
        </w:rPr>
        <w:t>
      в) планировочные и технологические решения;</w:t>
      </w:r>
    </w:p>
    <w:bookmarkEnd w:id="192"/>
    <w:bookmarkStart w:name="z196" w:id="193"/>
    <w:p>
      <w:pPr>
        <w:spacing w:after="0"/>
        <w:ind w:left="0"/>
        <w:jc w:val="both"/>
      </w:pPr>
      <w:r>
        <w:rPr>
          <w:rFonts w:ascii="Times New Roman"/>
          <w:b w:val="false"/>
          <w:i w:val="false"/>
          <w:color w:val="000000"/>
          <w:sz w:val="28"/>
        </w:rPr>
        <w:t>
      г) степень вмешательства человека в процесс (технологический процесс, включающий ручные операции, имеет повышенный риск контаминации продукта, в этих случаях частоту проведения текущего контроля следует увеличить);</w:t>
      </w:r>
    </w:p>
    <w:bookmarkEnd w:id="193"/>
    <w:bookmarkStart w:name="z197" w:id="194"/>
    <w:p>
      <w:pPr>
        <w:spacing w:after="0"/>
        <w:ind w:left="0"/>
        <w:jc w:val="both"/>
      </w:pPr>
      <w:r>
        <w:rPr>
          <w:rFonts w:ascii="Times New Roman"/>
          <w:b w:val="false"/>
          <w:i w:val="false"/>
          <w:color w:val="000000"/>
          <w:sz w:val="28"/>
        </w:rPr>
        <w:t>
      д) использование финишной стерилизации;</w:t>
      </w:r>
    </w:p>
    <w:bookmarkEnd w:id="194"/>
    <w:bookmarkStart w:name="z198" w:id="195"/>
    <w:p>
      <w:pPr>
        <w:spacing w:after="0"/>
        <w:ind w:left="0"/>
        <w:jc w:val="both"/>
      </w:pPr>
      <w:r>
        <w:rPr>
          <w:rFonts w:ascii="Times New Roman"/>
          <w:b w:val="false"/>
          <w:i w:val="false"/>
          <w:color w:val="000000"/>
          <w:sz w:val="28"/>
        </w:rPr>
        <w:t>
      е) интенсивность производства;</w:t>
      </w:r>
    </w:p>
    <w:bookmarkEnd w:id="195"/>
    <w:bookmarkStart w:name="z199" w:id="196"/>
    <w:p>
      <w:pPr>
        <w:spacing w:after="0"/>
        <w:ind w:left="0"/>
        <w:jc w:val="both"/>
      </w:pPr>
      <w:r>
        <w:rPr>
          <w:rFonts w:ascii="Times New Roman"/>
          <w:b w:val="false"/>
          <w:i w:val="false"/>
          <w:color w:val="000000"/>
          <w:sz w:val="28"/>
        </w:rPr>
        <w:t>
      ж) возраста предприятия;</w:t>
      </w:r>
    </w:p>
    <w:bookmarkEnd w:id="196"/>
    <w:bookmarkStart w:name="z200" w:id="197"/>
    <w:p>
      <w:pPr>
        <w:spacing w:after="0"/>
        <w:ind w:left="0"/>
        <w:jc w:val="both"/>
      </w:pPr>
      <w:r>
        <w:rPr>
          <w:rFonts w:ascii="Times New Roman"/>
          <w:b w:val="false"/>
          <w:i w:val="false"/>
          <w:color w:val="000000"/>
          <w:sz w:val="28"/>
        </w:rPr>
        <w:t>
      з) уровень технического обслуживания;</w:t>
      </w:r>
    </w:p>
    <w:bookmarkEnd w:id="197"/>
    <w:bookmarkStart w:name="z201" w:id="198"/>
    <w:p>
      <w:pPr>
        <w:spacing w:after="0"/>
        <w:ind w:left="0"/>
        <w:jc w:val="both"/>
      </w:pPr>
      <w:r>
        <w:rPr>
          <w:rFonts w:ascii="Times New Roman"/>
          <w:b w:val="false"/>
          <w:i w:val="false"/>
          <w:color w:val="000000"/>
          <w:sz w:val="28"/>
        </w:rPr>
        <w:t>
      и) уровень квалификации персонала;</w:t>
      </w:r>
    </w:p>
    <w:bookmarkEnd w:id="198"/>
    <w:bookmarkStart w:name="z202" w:id="199"/>
    <w:p>
      <w:pPr>
        <w:spacing w:after="0"/>
        <w:ind w:left="0"/>
        <w:jc w:val="both"/>
      </w:pPr>
      <w:r>
        <w:rPr>
          <w:rFonts w:ascii="Times New Roman"/>
          <w:b w:val="false"/>
          <w:i w:val="false"/>
          <w:color w:val="000000"/>
          <w:sz w:val="28"/>
        </w:rPr>
        <w:t>
      к) уровень загруженности персонала;</w:t>
      </w:r>
    </w:p>
    <w:bookmarkEnd w:id="199"/>
    <w:bookmarkStart w:name="z203" w:id="200"/>
    <w:p>
      <w:pPr>
        <w:spacing w:after="0"/>
        <w:ind w:left="0"/>
        <w:jc w:val="both"/>
      </w:pPr>
      <w:r>
        <w:rPr>
          <w:rFonts w:ascii="Times New Roman"/>
          <w:b w:val="false"/>
          <w:i w:val="false"/>
          <w:color w:val="000000"/>
          <w:sz w:val="28"/>
        </w:rPr>
        <w:t>
      л) данные контроля предшествующего периода.</w:t>
      </w:r>
    </w:p>
    <w:bookmarkEnd w:id="200"/>
    <w:bookmarkStart w:name="z204" w:id="201"/>
    <w:p>
      <w:pPr>
        <w:spacing w:after="0"/>
        <w:ind w:left="0"/>
        <w:jc w:val="both"/>
      </w:pPr>
      <w:r>
        <w:rPr>
          <w:rFonts w:ascii="Times New Roman"/>
          <w:b w:val="false"/>
          <w:i w:val="false"/>
          <w:color w:val="000000"/>
          <w:sz w:val="28"/>
        </w:rPr>
        <w:t xml:space="preserve">
      82. Кроме того, изменения в частоте отбора проб, будь то временные или постоянные, могут потребоваться на основании изменений в регуляторных требованиях, развития микробиологических знаний, приобретения нового оборудования или строительства новых помещений и др. </w:t>
      </w:r>
    </w:p>
    <w:bookmarkEnd w:id="201"/>
    <w:bookmarkStart w:name="z205" w:id="202"/>
    <w:p>
      <w:pPr>
        <w:spacing w:after="0"/>
        <w:ind w:left="0"/>
        <w:jc w:val="both"/>
      </w:pPr>
      <w:r>
        <w:rPr>
          <w:rFonts w:ascii="Times New Roman"/>
          <w:b w:val="false"/>
          <w:i w:val="false"/>
          <w:color w:val="000000"/>
          <w:sz w:val="28"/>
        </w:rPr>
        <w:t xml:space="preserve">
      83. Микробиологический контроль производственных помещений (зон) проводится как в эксплуатируемом, так и в оснащенном состоянии. Контроль помещений (зон) в оснащенном состоянии позволяет контролировать качество генеральных очисток, оценивать работу системы воздухоподготовки без нагрузки. Периодичность контроля помещений (зон) в оснащенном состоянии устанавливается на основании оценки рисков с учетом назначения помещений (зон), критичности производимых в них операций и др. </w:t>
      </w:r>
    </w:p>
    <w:bookmarkEnd w:id="202"/>
    <w:bookmarkStart w:name="z206" w:id="203"/>
    <w:p>
      <w:pPr>
        <w:spacing w:after="0"/>
        <w:ind w:left="0"/>
        <w:jc w:val="both"/>
      </w:pPr>
      <w:r>
        <w:rPr>
          <w:rFonts w:ascii="Times New Roman"/>
          <w:b w:val="false"/>
          <w:i w:val="false"/>
          <w:color w:val="000000"/>
          <w:sz w:val="28"/>
        </w:rPr>
        <w:t>
      Мониторинг помещений (зон) и оборудования не проводится:</w:t>
      </w:r>
    </w:p>
    <w:bookmarkEnd w:id="203"/>
    <w:bookmarkStart w:name="z207" w:id="204"/>
    <w:p>
      <w:pPr>
        <w:spacing w:after="0"/>
        <w:ind w:left="0"/>
        <w:jc w:val="both"/>
      </w:pPr>
      <w:r>
        <w:rPr>
          <w:rFonts w:ascii="Times New Roman"/>
          <w:b w:val="false"/>
          <w:i w:val="false"/>
          <w:color w:val="000000"/>
          <w:sz w:val="28"/>
        </w:rPr>
        <w:t>
      а) во время проведения очисток;</w:t>
      </w:r>
    </w:p>
    <w:bookmarkEnd w:id="204"/>
    <w:bookmarkStart w:name="z208" w:id="205"/>
    <w:p>
      <w:pPr>
        <w:spacing w:after="0"/>
        <w:ind w:left="0"/>
        <w:jc w:val="both"/>
      </w:pPr>
      <w:r>
        <w:rPr>
          <w:rFonts w:ascii="Times New Roman"/>
          <w:b w:val="false"/>
          <w:i w:val="false"/>
          <w:color w:val="000000"/>
          <w:sz w:val="28"/>
        </w:rPr>
        <w:t>
      б) при наличии этикетки на помещении или на оборудовании "Требуется очистка", "Ремонт";</w:t>
      </w:r>
    </w:p>
    <w:bookmarkEnd w:id="205"/>
    <w:bookmarkStart w:name="z209" w:id="206"/>
    <w:p>
      <w:pPr>
        <w:spacing w:after="0"/>
        <w:ind w:left="0"/>
        <w:jc w:val="both"/>
      </w:pPr>
      <w:r>
        <w:rPr>
          <w:rFonts w:ascii="Times New Roman"/>
          <w:b w:val="false"/>
          <w:i w:val="false"/>
          <w:color w:val="000000"/>
          <w:sz w:val="28"/>
        </w:rPr>
        <w:t>
      в) при проведении технического обслуживания.</w:t>
      </w:r>
    </w:p>
    <w:bookmarkEnd w:id="206"/>
    <w:bookmarkStart w:name="z210" w:id="207"/>
    <w:p>
      <w:pPr>
        <w:spacing w:after="0"/>
        <w:ind w:left="0"/>
        <w:jc w:val="left"/>
      </w:pPr>
      <w:r>
        <w:rPr>
          <w:rFonts w:ascii="Times New Roman"/>
          <w:b/>
          <w:i w:val="false"/>
          <w:color w:val="000000"/>
        </w:rPr>
        <w:t xml:space="preserve"> 1. Периодичность и методы контроля для производителей стерильных лекарственных средств</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12" w:id="208"/>
    <w:p>
      <w:pPr>
        <w:spacing w:after="0"/>
        <w:ind w:left="0"/>
        <w:jc w:val="left"/>
      </w:pPr>
      <w:r>
        <w:rPr>
          <w:rFonts w:ascii="Times New Roman"/>
          <w:b/>
          <w:i w:val="false"/>
          <w:color w:val="000000"/>
        </w:rPr>
        <w:t xml:space="preserve"> Периодичность и методы контроля воздуха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9"/>
          <w:p>
            <w:pPr>
              <w:spacing w:after="20"/>
              <w:ind w:left="20"/>
              <w:jc w:val="both"/>
            </w:pPr>
            <w:r>
              <w:rPr>
                <w:rFonts w:ascii="Times New Roman"/>
                <w:b w:val="false"/>
                <w:i w:val="false"/>
                <w:color w:val="000000"/>
                <w:sz w:val="20"/>
              </w:rPr>
              <w:t xml:space="preserve">
непрерывный мониторинг класса А с использованием комбинации седиментационного и аспирационного методов следует осуществлять на протяжении всей продолжительности критического процесса, включая сборку оборудования (асептической установки) и сам критический процесс.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Для производств с финишной стерилизацией периодичность устанавливается на основании анализа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Аналогичный подход следует рассмотреть для помещений класса В исходя из риска воздействия на асептический процесс.</w:t>
            </w:r>
          </w:p>
          <w:p>
            <w:pPr>
              <w:spacing w:after="20"/>
              <w:ind w:left="20"/>
              <w:jc w:val="both"/>
            </w:pPr>
            <w:r>
              <w:rPr>
                <w:rFonts w:ascii="Times New Roman"/>
                <w:b w:val="false"/>
                <w:i w:val="false"/>
                <w:color w:val="000000"/>
                <w:sz w:val="20"/>
              </w:rPr>
              <w:t>
Периодичность комбинации седиментационного и аспирационного методов устанавливается на основании анализа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от ежедневного до ежемесячного отбора проб (в зависимости от критичности).</w:t>
            </w:r>
          </w:p>
          <w:bookmarkEnd w:id="210"/>
          <w:p>
            <w:pPr>
              <w:spacing w:after="20"/>
              <w:ind w:left="20"/>
              <w:jc w:val="both"/>
            </w:pPr>
            <w:r>
              <w:rPr>
                <w:rFonts w:ascii="Times New Roman"/>
                <w:b w:val="false"/>
                <w:i w:val="false"/>
                <w:color w:val="000000"/>
                <w:sz w:val="20"/>
              </w:rPr>
              <w:t xml:space="preserve">
Седиментационный и аспирационный методы в комбинации с периодичностью, установленной на основании анализа рисков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от еженедельного до одного раза в квартал (в зависимости от критичности).</w:t>
            </w:r>
          </w:p>
          <w:bookmarkEnd w:id="211"/>
          <w:p>
            <w:pPr>
              <w:spacing w:after="20"/>
              <w:ind w:left="20"/>
              <w:jc w:val="both"/>
            </w:pPr>
            <w:r>
              <w:rPr>
                <w:rFonts w:ascii="Times New Roman"/>
                <w:b w:val="false"/>
                <w:i w:val="false"/>
                <w:color w:val="000000"/>
                <w:sz w:val="20"/>
              </w:rPr>
              <w:t xml:space="preserve">
Седиментационный и аспирационный методы в комбинации с периодичностью, установленной на основе анализа рисков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9" w:id="212"/>
    <w:p>
      <w:pPr>
        <w:spacing w:after="0"/>
        <w:ind w:left="0"/>
        <w:jc w:val="left"/>
      </w:pPr>
      <w:r>
        <w:rPr>
          <w:rFonts w:ascii="Times New Roman"/>
          <w:b/>
          <w:i w:val="false"/>
          <w:color w:val="000000"/>
        </w:rPr>
        <w:t xml:space="preserve"> Периодичность и методы контроля поверхностей</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Объект контроля</w:t>
            </w:r>
          </w:p>
          <w:bookmarkEnd w:id="213"/>
          <w:p>
            <w:pPr>
              <w:spacing w:after="20"/>
              <w:ind w:left="20"/>
              <w:jc w:val="both"/>
            </w:pPr>
            <w:r>
              <w:rPr>
                <w:rFonts w:ascii="Times New Roman"/>
                <w:b w:val="false"/>
                <w:i w:val="false"/>
                <w:color w:val="000000"/>
                <w:sz w:val="20"/>
              </w:rPr>
              <w:t>
(объекты (точки) контроля устанавливаются производителем на основании результатов анализа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Поверхности оборудования.</w:t>
            </w:r>
          </w:p>
          <w:bookmarkEnd w:id="214"/>
          <w:p>
            <w:pPr>
              <w:spacing w:after="20"/>
              <w:ind w:left="20"/>
              <w:jc w:val="both"/>
            </w:pPr>
            <w:r>
              <w:rPr>
                <w:rFonts w:ascii="Times New Roman"/>
                <w:b w:val="false"/>
                <w:i w:val="false"/>
                <w:color w:val="000000"/>
                <w:sz w:val="20"/>
              </w:rPr>
              <w:t>
Рабочие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в отношении асептических процессов – после окончания критической технологической операции.</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производств с финишной стерилизацией периодичность устанавливается на основе анализа рисков.</w:t>
            </w:r>
          </w:p>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после окончания критической технологической операции.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Для производств с финишной стерилизацией периодичность устанавливается на основе анализа рисков.</w:t>
            </w:r>
          </w:p>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от ежедневного до ежемесячного (в зависимости от критичности).</w:t>
            </w:r>
          </w:p>
          <w:bookmarkEnd w:id="217"/>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Поверхности оборудования.</w:t>
            </w:r>
          </w:p>
          <w:bookmarkEnd w:id="218"/>
          <w:p>
            <w:pPr>
              <w:spacing w:after="20"/>
              <w:ind w:left="20"/>
              <w:jc w:val="both"/>
            </w:pPr>
            <w:r>
              <w:rPr>
                <w:rFonts w:ascii="Times New Roman"/>
                <w:b w:val="false"/>
                <w:i w:val="false"/>
                <w:color w:val="000000"/>
                <w:sz w:val="20"/>
              </w:rPr>
              <w:t>
Рабочие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после окончания критической технологической операции и (или) во время такой операции, если риск, вызываемый отбором проб, минимален.</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Для производств с финишной стерилизацией периодичность отбора проб устанавливается на основе анализа рисков.</w:t>
            </w:r>
          </w:p>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после окончания критической технологической операции или во время такой операции, если риск, вызываемый отбором проб, минимален.</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для производств с финишной стерилизацией периодичность отбора проб устанавливается на основе анализа рисков.</w:t>
            </w:r>
          </w:p>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от еженедельного до ежемесячного (в зависимости от критичности) в эксплуатируемом состоянии.</w:t>
            </w:r>
          </w:p>
          <w:bookmarkEnd w:id="221"/>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Поверхности оборудования.</w:t>
            </w:r>
          </w:p>
          <w:bookmarkEnd w:id="222"/>
          <w:p>
            <w:pPr>
              <w:spacing w:after="20"/>
              <w:ind w:left="20"/>
              <w:jc w:val="both"/>
            </w:pPr>
            <w:r>
              <w:rPr>
                <w:rFonts w:ascii="Times New Roman"/>
                <w:b w:val="false"/>
                <w:i w:val="false"/>
                <w:color w:val="000000"/>
                <w:sz w:val="20"/>
              </w:rPr>
              <w:t>
Рабочие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от еженедельного до ежемесячного (в зависимости от критичности) в эксплуатируемом состоянии.</w:t>
            </w:r>
          </w:p>
          <w:bookmarkEnd w:id="223"/>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от еженедельного до ежемесячного (в зависимости от критичности) в эксплуатируемом состоянии.</w:t>
            </w:r>
          </w:p>
          <w:bookmarkEnd w:id="224"/>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от еженедельного до ежемесячного (в зависимости от критичности) в эксплуатируемом состоянии.</w:t>
            </w:r>
          </w:p>
          <w:bookmarkEnd w:id="225"/>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Поверхности оборудования.</w:t>
            </w:r>
          </w:p>
          <w:bookmarkEnd w:id="226"/>
          <w:p>
            <w:pPr>
              <w:spacing w:after="20"/>
              <w:ind w:left="20"/>
              <w:jc w:val="both"/>
            </w:pPr>
            <w:r>
              <w:rPr>
                <w:rFonts w:ascii="Times New Roman"/>
                <w:b w:val="false"/>
                <w:i w:val="false"/>
                <w:color w:val="000000"/>
                <w:sz w:val="20"/>
              </w:rPr>
              <w:t>
Рабочие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от еженедельного до одного раза в квартал (в зависимости от критичности) в эксплуатируемом состоянии.</w:t>
            </w:r>
          </w:p>
          <w:bookmarkEnd w:id="227"/>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от ежемесячного до одного раза в квартал (в зависимости от критичности) в эксплуатируемом состоянии.</w:t>
            </w:r>
          </w:p>
          <w:bookmarkEnd w:id="228"/>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ежемесячного до одного раза в квартал (в зависимости от метода контактных пластин и (или) метода смыва тампоном (свабом)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41" w:id="229"/>
    <w:p>
      <w:pPr>
        <w:spacing w:after="0"/>
        <w:ind w:left="0"/>
        <w:jc w:val="left"/>
      </w:pPr>
      <w:r>
        <w:rPr>
          <w:rFonts w:ascii="Times New Roman"/>
          <w:b/>
          <w:i w:val="false"/>
          <w:color w:val="000000"/>
        </w:rPr>
        <w:t xml:space="preserve"> Периодичность и методы контроля перчаток и технологической одежды персонала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Объект контроля</w:t>
            </w:r>
          </w:p>
          <w:bookmarkEnd w:id="230"/>
          <w:p>
            <w:pPr>
              <w:spacing w:after="20"/>
              <w:ind w:left="20"/>
              <w:jc w:val="both"/>
            </w:pPr>
            <w:r>
              <w:rPr>
                <w:rFonts w:ascii="Times New Roman"/>
                <w:b w:val="false"/>
                <w:i w:val="false"/>
                <w:color w:val="000000"/>
                <w:sz w:val="20"/>
              </w:rPr>
              <w:t>
(точки контроля устанавливаются производителем на основании результатов анализа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после выполнения критической технологической операции.</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каждом выходе из чистой зоны класса 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отпечатка перчатки (5 пальцев с обеих рук).</w:t>
            </w:r>
          </w:p>
          <w:p>
            <w:pPr>
              <w:spacing w:after="20"/>
              <w:ind w:left="20"/>
              <w:jc w:val="both"/>
            </w:pPr>
            <w:r>
              <w:rPr>
                <w:rFonts w:ascii="Times New Roman"/>
                <w:b w:val="false"/>
                <w:i w:val="false"/>
                <w:color w:val="000000"/>
                <w:sz w:val="20"/>
              </w:rPr>
              <w:t>
Для отбора проб с труднодоступных мест (между пальцами) допустимо применять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Предплечья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xml:space="preserve">
при каждом выходе из чистой зоны класса А. </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 выполнения критической технологической операции каждым сотрудником, если операции осуществляются вручную. </w:t>
            </w:r>
          </w:p>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 (вокруг маски), лоб, верхняя передняя часть комбинезона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в каждой серии после выполнения критических технологических операций.</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При каждом выходе из чистого помещения класса 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отпечатка перчатки (5 пальцев, с обеих рук).</w:t>
            </w:r>
          </w:p>
          <w:p>
            <w:pPr>
              <w:spacing w:after="20"/>
              <w:ind w:left="20"/>
              <w:jc w:val="both"/>
            </w:pPr>
            <w:r>
              <w:rPr>
                <w:rFonts w:ascii="Times New Roman"/>
                <w:b w:val="false"/>
                <w:i w:val="false"/>
                <w:color w:val="000000"/>
                <w:sz w:val="20"/>
              </w:rPr>
              <w:t>
Для отбора проб с труднодоступных мест (между пальцами) допустимо применять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Предплечья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при каждом выходе из чистого помещения класса В (перчатки и одежда).</w:t>
            </w:r>
          </w:p>
          <w:bookmarkEnd w:id="234"/>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Капюшон (вокруг маски), лоб, верхняя передняя часть комбинезона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Предплечья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не реже одного раза в полгода.</w:t>
            </w:r>
          </w:p>
          <w:bookmarkEnd w:id="235"/>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передняя часть комбинезона, лоб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Предплечья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не реже одного раза в полгода.</w:t>
            </w:r>
          </w:p>
          <w:bookmarkEnd w:id="236"/>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передняя часть комбинезона, лоб</w:t>
            </w:r>
          </w:p>
        </w:tc>
        <w:tc>
          <w:tcPr>
            <w:tcW w:w="0" w:type="auto"/>
            <w:vMerge/>
            <w:tcBorders>
              <w:top w:val="nil"/>
              <w:left w:val="single" w:color="cfcfcf" w:sz="5"/>
              <w:bottom w:val="single" w:color="cfcfcf" w:sz="5"/>
              <w:right w:val="single" w:color="cfcfcf" w:sz="5"/>
            </w:tcBorders>
          </w:tcPr>
          <w:p/>
        </w:tc>
      </w:tr>
    </w:tbl>
    <w:bookmarkStart w:name="z254" w:id="237"/>
    <w:p>
      <w:pPr>
        <w:spacing w:after="0"/>
        <w:ind w:left="0"/>
        <w:jc w:val="both"/>
      </w:pPr>
      <w:r>
        <w:rPr>
          <w:rFonts w:ascii="Times New Roman"/>
          <w:b w:val="false"/>
          <w:i w:val="false"/>
          <w:color w:val="000000"/>
          <w:sz w:val="28"/>
        </w:rPr>
        <w:t>
      84. В оценку рисков следует включить оценку точки и частоту мониторинга персонала на основании осуществляемых операций, а также близости к критическим зонам. Мониторинг также включает в себя периодический отбор проб с персонала в ходе производственного процесса.</w:t>
      </w:r>
    </w:p>
    <w:bookmarkEnd w:id="237"/>
    <w:bookmarkStart w:name="z255" w:id="238"/>
    <w:p>
      <w:pPr>
        <w:spacing w:after="0"/>
        <w:ind w:left="0"/>
        <w:jc w:val="both"/>
      </w:pPr>
      <w:r>
        <w:rPr>
          <w:rFonts w:ascii="Times New Roman"/>
          <w:b w:val="false"/>
          <w:i w:val="false"/>
          <w:color w:val="000000"/>
          <w:sz w:val="28"/>
        </w:rPr>
        <w:t>
      85. Если после критических вмешательств проводится мониторинг перчаток, верхнюю пару перчаток следует менять перед возобновлением (продолжением) операции или действия.</w:t>
      </w:r>
    </w:p>
    <w:bookmarkEnd w:id="238"/>
    <w:bookmarkStart w:name="z256" w:id="239"/>
    <w:p>
      <w:pPr>
        <w:spacing w:after="0"/>
        <w:ind w:left="0"/>
        <w:jc w:val="both"/>
      </w:pPr>
      <w:r>
        <w:rPr>
          <w:rFonts w:ascii="Times New Roman"/>
          <w:b w:val="false"/>
          <w:i w:val="false"/>
          <w:color w:val="000000"/>
          <w:sz w:val="28"/>
        </w:rPr>
        <w:t>
      86. Если после осуществления критических вмешательств требуется проведение мониторинга одежды, следует сменить одежду перед продолжением операции или действия в чистом помещении.</w:t>
      </w:r>
    </w:p>
    <w:bookmarkEnd w:id="239"/>
    <w:bookmarkStart w:name="z257" w:id="240"/>
    <w:p>
      <w:pPr>
        <w:spacing w:after="0"/>
        <w:ind w:left="0"/>
        <w:jc w:val="both"/>
      </w:pPr>
      <w:r>
        <w:rPr>
          <w:rFonts w:ascii="Times New Roman"/>
          <w:b w:val="false"/>
          <w:i w:val="false"/>
          <w:color w:val="000000"/>
          <w:sz w:val="28"/>
        </w:rPr>
        <w:t xml:space="preserve">
      87. Если в зонах А и В операции осуществляются вручную (например, асептическое приготовление или наполнение), то повышенный риск микробной контаминации должен контролироваться посредством микробиологического мониторинга одежды, оптимальную методику, частоту и периодичность которого следует обосновать в стратегии контроля контаминации. </w:t>
      </w:r>
    </w:p>
    <w:bookmarkEnd w:id="240"/>
    <w:bookmarkStart w:name="z258" w:id="241"/>
    <w:p>
      <w:pPr>
        <w:spacing w:after="0"/>
        <w:ind w:left="0"/>
        <w:jc w:val="both"/>
      </w:pPr>
      <w:r>
        <w:rPr>
          <w:rFonts w:ascii="Times New Roman"/>
          <w:b w:val="false"/>
          <w:i w:val="false"/>
          <w:color w:val="000000"/>
          <w:sz w:val="28"/>
        </w:rPr>
        <w:t>
      88. В случае необходимости осуществления нескольких последовательных вмешательств в зону класса А при сборке оборудования или проведении ремонтных работ мониторинг технологической одежды и перчаток персонала следует проводить после завершения всех последовательных вмешательств.</w:t>
      </w:r>
    </w:p>
    <w:bookmarkEnd w:id="241"/>
    <w:bookmarkStart w:name="z259" w:id="242"/>
    <w:p>
      <w:pPr>
        <w:spacing w:after="0"/>
        <w:ind w:left="0"/>
        <w:jc w:val="both"/>
      </w:pPr>
      <w:r>
        <w:rPr>
          <w:rFonts w:ascii="Times New Roman"/>
          <w:b w:val="false"/>
          <w:i w:val="false"/>
          <w:color w:val="000000"/>
          <w:sz w:val="28"/>
        </w:rPr>
        <w:t>
      89. При производстве асептических лекарственных средств следует оценить необходимость проведения мониторинга:</w:t>
      </w:r>
    </w:p>
    <w:bookmarkEnd w:id="242"/>
    <w:bookmarkStart w:name="z260" w:id="243"/>
    <w:p>
      <w:pPr>
        <w:spacing w:after="0"/>
        <w:ind w:left="0"/>
        <w:jc w:val="both"/>
      </w:pPr>
      <w:r>
        <w:rPr>
          <w:rFonts w:ascii="Times New Roman"/>
          <w:b w:val="false"/>
          <w:i w:val="false"/>
          <w:color w:val="000000"/>
          <w:sz w:val="28"/>
        </w:rPr>
        <w:t>
      а) после значительных вмешательств в зону класса А (например, проникновение в нее рук и верхней части туловища персонала). Контролируются перчатки и, как минимум, 4 точки верхней части технологической одежды (маска (капюшон), верхняя передняя часть комбинезона, рукава);</w:t>
      </w:r>
    </w:p>
    <w:bookmarkEnd w:id="243"/>
    <w:bookmarkStart w:name="z261" w:id="244"/>
    <w:p>
      <w:pPr>
        <w:spacing w:after="0"/>
        <w:ind w:left="0"/>
        <w:jc w:val="both"/>
      </w:pPr>
      <w:r>
        <w:rPr>
          <w:rFonts w:ascii="Times New Roman"/>
          <w:b w:val="false"/>
          <w:i w:val="false"/>
          <w:color w:val="000000"/>
          <w:sz w:val="28"/>
        </w:rPr>
        <w:t>
      б) после незначительных вмешательств в зону класса А (только проникновение в нее предплечий (рукавов) и кистей (перчаток)). Допускается контроль только перчаток.</w:t>
      </w:r>
    </w:p>
    <w:bookmarkEnd w:id="244"/>
    <w:bookmarkStart w:name="z262" w:id="245"/>
    <w:p>
      <w:pPr>
        <w:spacing w:after="0"/>
        <w:ind w:left="0"/>
        <w:jc w:val="left"/>
      </w:pPr>
      <w:r>
        <w:rPr>
          <w:rFonts w:ascii="Times New Roman"/>
          <w:b/>
          <w:i w:val="false"/>
          <w:color w:val="000000"/>
        </w:rPr>
        <w:t xml:space="preserve"> Периодичность и методы контроля для производителей нестерильных лекарственных средств</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64" w:id="246"/>
    <w:p>
      <w:pPr>
        <w:spacing w:after="0"/>
        <w:ind w:left="0"/>
        <w:jc w:val="left"/>
      </w:pPr>
      <w:r>
        <w:rPr>
          <w:rFonts w:ascii="Times New Roman"/>
          <w:b/>
          <w:i w:val="false"/>
          <w:color w:val="000000"/>
        </w:rPr>
        <w:t xml:space="preserve"> Периодичность и методы контроля воздуха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от еженедельного до ежемесячного отбора проб (в зависимости от критичности).</w:t>
            </w:r>
          </w:p>
          <w:bookmarkEnd w:id="247"/>
          <w:p>
            <w:pPr>
              <w:spacing w:after="20"/>
              <w:ind w:left="20"/>
              <w:jc w:val="both"/>
            </w:pPr>
            <w:r>
              <w:rPr>
                <w:rFonts w:ascii="Times New Roman"/>
                <w:b w:val="false"/>
                <w:i w:val="false"/>
                <w:color w:val="000000"/>
                <w:sz w:val="20"/>
              </w:rPr>
              <w:t xml:space="preserve">
Седиментационный и аспирационный методы в комбинации с периодичностью, установленной на основе анализа рисков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от еженедельного до 1 раза в квартал (в зависимости от критичности).</w:t>
            </w:r>
          </w:p>
          <w:bookmarkEnd w:id="248"/>
          <w:p>
            <w:pPr>
              <w:spacing w:after="20"/>
              <w:ind w:left="20"/>
              <w:jc w:val="both"/>
            </w:pPr>
            <w:r>
              <w:rPr>
                <w:rFonts w:ascii="Times New Roman"/>
                <w:b w:val="false"/>
                <w:i w:val="false"/>
                <w:color w:val="000000"/>
                <w:sz w:val="20"/>
              </w:rPr>
              <w:t xml:space="preserve">
Седиментационный и аспирационный методы в комбинации с периодичностью, установленной на основе анализа рисков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68" w:id="249"/>
    <w:p>
      <w:pPr>
        <w:spacing w:after="0"/>
        <w:ind w:left="0"/>
        <w:jc w:val="left"/>
      </w:pPr>
      <w:r>
        <w:rPr>
          <w:rFonts w:ascii="Times New Roman"/>
          <w:b/>
          <w:i w:val="false"/>
          <w:color w:val="000000"/>
        </w:rPr>
        <w:t xml:space="preserve"> Периодичность и методы контроля поверхностей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Объект контроля</w:t>
            </w:r>
          </w:p>
          <w:bookmarkEnd w:id="250"/>
          <w:p>
            <w:pPr>
              <w:spacing w:after="20"/>
              <w:ind w:left="20"/>
              <w:jc w:val="both"/>
            </w:pPr>
            <w:r>
              <w:rPr>
                <w:rFonts w:ascii="Times New Roman"/>
                <w:b w:val="false"/>
                <w:i w:val="false"/>
                <w:color w:val="000000"/>
                <w:sz w:val="20"/>
              </w:rPr>
              <w:t>
(объекты (точки) контроля устанавливаются производителем на основе результатов анализа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контакт с продуктом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от еженедельного до ежемесячного (в зависимости от критичности).</w:t>
            </w:r>
          </w:p>
          <w:bookmarkEnd w:id="251"/>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контакта с продуктом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контакт с продуктом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от еженедельного до ежемесячного (в зависимости от критичности).</w:t>
            </w:r>
          </w:p>
          <w:bookmarkEnd w:id="252"/>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контакта с продуктом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от еженедельного до 1 раза в квартал (в зависимости от критичности).</w:t>
            </w:r>
          </w:p>
          <w:bookmarkEnd w:id="253"/>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помещения</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74" w:id="254"/>
    <w:p>
      <w:pPr>
        <w:spacing w:after="0"/>
        <w:ind w:left="0"/>
        <w:jc w:val="left"/>
      </w:pPr>
      <w:r>
        <w:rPr>
          <w:rFonts w:ascii="Times New Roman"/>
          <w:b/>
          <w:i w:val="false"/>
          <w:color w:val="000000"/>
        </w:rPr>
        <w:t xml:space="preserve"> Периодичность и методы контроля перчаток и технологической одежды персонала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Объект контроля</w:t>
            </w:r>
          </w:p>
          <w:bookmarkEnd w:id="255"/>
          <w:p>
            <w:pPr>
              <w:spacing w:after="20"/>
              <w:ind w:left="20"/>
              <w:jc w:val="both"/>
            </w:pPr>
            <w:r>
              <w:rPr>
                <w:rFonts w:ascii="Times New Roman"/>
                <w:b w:val="false"/>
                <w:i w:val="false"/>
                <w:color w:val="000000"/>
                <w:sz w:val="20"/>
              </w:rPr>
              <w:t>
(точки контроля устанавливаются производителем на основании результатов анализа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методы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необходимость и периодичность контроля устанавливаются на основе анализа рисков.</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отпечатка (5 пальцев). </w:t>
            </w:r>
          </w:p>
          <w:p>
            <w:pPr>
              <w:spacing w:after="20"/>
              <w:ind w:left="20"/>
              <w:jc w:val="both"/>
            </w:pPr>
            <w:r>
              <w:rPr>
                <w:rFonts w:ascii="Times New Roman"/>
                <w:b w:val="false"/>
                <w:i w:val="false"/>
                <w:color w:val="000000"/>
                <w:sz w:val="20"/>
              </w:rPr>
              <w:t>
Для отбора проб с труднодоступных мест допускается применять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одежда (предплечья, верхняя передняя часть комбинезона на уровне выполнения производственных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не реже 1 раза в квартал.</w:t>
            </w:r>
          </w:p>
          <w:bookmarkEnd w:id="257"/>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необходимость и периодичность контроля устанавливаются на основании анализа рисков.</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отпечатка (5 пальцев). </w:t>
            </w:r>
          </w:p>
          <w:p>
            <w:pPr>
              <w:spacing w:after="20"/>
              <w:ind w:left="20"/>
              <w:jc w:val="both"/>
            </w:pPr>
            <w:r>
              <w:rPr>
                <w:rFonts w:ascii="Times New Roman"/>
                <w:b w:val="false"/>
                <w:i w:val="false"/>
                <w:color w:val="000000"/>
                <w:sz w:val="20"/>
              </w:rPr>
              <w:t>
Для отбора проб с труднодоступных мест допускается применять метод смыва тампоном (свабом)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одежда (предплечья, верхняя передняя часть комбинезона на уровне выполнения производственных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не реже 1 раза в 6 месяцев.</w:t>
            </w:r>
          </w:p>
          <w:bookmarkEnd w:id="259"/>
          <w:p>
            <w:pPr>
              <w:spacing w:after="20"/>
              <w:ind w:left="20"/>
              <w:jc w:val="both"/>
            </w:pPr>
            <w:r>
              <w:rPr>
                <w:rFonts w:ascii="Times New Roman"/>
                <w:b w:val="false"/>
                <w:i w:val="false"/>
                <w:color w:val="000000"/>
                <w:sz w:val="20"/>
              </w:rPr>
              <w:t>
Метод контактных пластин и (или) метод смыва тампоном (свабом)</w:t>
            </w:r>
          </w:p>
        </w:tc>
      </w:tr>
    </w:tbl>
    <w:bookmarkStart w:name="z282" w:id="260"/>
    <w:p>
      <w:pPr>
        <w:spacing w:after="0"/>
        <w:ind w:left="0"/>
        <w:jc w:val="left"/>
      </w:pPr>
      <w:r>
        <w:rPr>
          <w:rFonts w:ascii="Times New Roman"/>
          <w:b/>
          <w:i w:val="false"/>
          <w:color w:val="000000"/>
        </w:rPr>
        <w:t xml:space="preserve"> VII. Максимальные пределы действия</w:t>
      </w:r>
    </w:p>
    <w:bookmarkEnd w:id="260"/>
    <w:bookmarkStart w:name="z283" w:id="261"/>
    <w:p>
      <w:pPr>
        <w:spacing w:after="0"/>
        <w:ind w:left="0"/>
        <w:jc w:val="both"/>
      </w:pPr>
      <w:r>
        <w:rPr>
          <w:rFonts w:ascii="Times New Roman"/>
          <w:b w:val="false"/>
          <w:i w:val="false"/>
          <w:color w:val="000000"/>
          <w:sz w:val="28"/>
        </w:rPr>
        <w:t xml:space="preserve">
      90. Максимальные пределы действия для микробной контаминации объектов производственной среды установлены в соответствии с приложением № 1 к Правилам производственной практики. </w:t>
      </w:r>
    </w:p>
    <w:bookmarkEnd w:id="261"/>
    <w:bookmarkStart w:name="z284" w:id="262"/>
    <w:p>
      <w:pPr>
        <w:spacing w:after="0"/>
        <w:ind w:left="0"/>
        <w:jc w:val="both"/>
      </w:pPr>
      <w:r>
        <w:rPr>
          <w:rFonts w:ascii="Times New Roman"/>
          <w:b w:val="false"/>
          <w:i w:val="false"/>
          <w:color w:val="000000"/>
          <w:sz w:val="28"/>
        </w:rPr>
        <w:t xml:space="preserve">
      91. Для определения максимальных пределов действия для объектов (методов контроля), не указанных в приложении № 1 к Правилам производственной практики, следует применять статистические методы расчета на основе предшествующих данных (согласно приложению № 3). </w:t>
      </w:r>
    </w:p>
    <w:bookmarkEnd w:id="262"/>
    <w:bookmarkStart w:name="z285" w:id="263"/>
    <w:p>
      <w:pPr>
        <w:spacing w:after="0"/>
        <w:ind w:left="0"/>
        <w:jc w:val="both"/>
      </w:pPr>
      <w:r>
        <w:rPr>
          <w:rFonts w:ascii="Times New Roman"/>
          <w:b w:val="false"/>
          <w:i w:val="false"/>
          <w:color w:val="000000"/>
          <w:sz w:val="28"/>
        </w:rPr>
        <w:t>
      92. В целях определения максимальных пределов действия при использовании метода смыва тампоном (свабом) допускается применение пересчетного коэффициента, определенного в результате валидации метода смыва тампоном (свабом) по отношению к методу контактных пластин. При этом пересчетный коэффициент применяется только для валидированных условий (используемые питательные среды, типы тампонов и др.).</w:t>
      </w:r>
    </w:p>
    <w:bookmarkEnd w:id="263"/>
    <w:bookmarkStart w:name="z286" w:id="264"/>
    <w:p>
      <w:pPr>
        <w:spacing w:after="0"/>
        <w:ind w:left="0"/>
        <w:jc w:val="both"/>
      </w:pPr>
      <w:r>
        <w:rPr>
          <w:rFonts w:ascii="Times New Roman"/>
          <w:b w:val="false"/>
          <w:i w:val="false"/>
          <w:color w:val="000000"/>
          <w:sz w:val="28"/>
        </w:rPr>
        <w:t>
      93. Максимальные пределы действия для оснащенного состояния устанавливаются производителем самостоятельно на основе анализа рисков и предшествующих данных.</w:t>
      </w:r>
    </w:p>
    <w:bookmarkEnd w:id="264"/>
    <w:bookmarkStart w:name="z287" w:id="265"/>
    <w:p>
      <w:pPr>
        <w:spacing w:after="0"/>
        <w:ind w:left="0"/>
        <w:jc w:val="left"/>
      </w:pPr>
      <w:r>
        <w:rPr>
          <w:rFonts w:ascii="Times New Roman"/>
          <w:b/>
          <w:i w:val="false"/>
          <w:color w:val="000000"/>
        </w:rPr>
        <w:t xml:space="preserve"> VIII. Уровни тревоги и действия</w:t>
      </w:r>
    </w:p>
    <w:bookmarkEnd w:id="265"/>
    <w:bookmarkStart w:name="z288" w:id="266"/>
    <w:p>
      <w:pPr>
        <w:spacing w:after="0"/>
        <w:ind w:left="0"/>
        <w:jc w:val="both"/>
      </w:pPr>
      <w:r>
        <w:rPr>
          <w:rFonts w:ascii="Times New Roman"/>
          <w:b w:val="false"/>
          <w:i w:val="false"/>
          <w:color w:val="000000"/>
          <w:sz w:val="28"/>
        </w:rPr>
        <w:t xml:space="preserve">
      94. Уровни тревоги и действия для объектов мониторинга устанавливаются индивидуально, на основе результатов квалификации (валидации) и анализа имеющихся предшествующих данных текущего мониторинга с учетом установленных в приложении № 1 к Правилам производственной практики максимальных пределов действия для микробной контаминации. </w:t>
      </w:r>
    </w:p>
    <w:bookmarkEnd w:id="266"/>
    <w:bookmarkStart w:name="z289" w:id="267"/>
    <w:p>
      <w:pPr>
        <w:spacing w:after="0"/>
        <w:ind w:left="0"/>
        <w:jc w:val="both"/>
      </w:pPr>
      <w:r>
        <w:rPr>
          <w:rFonts w:ascii="Times New Roman"/>
          <w:b w:val="false"/>
          <w:i w:val="false"/>
          <w:color w:val="000000"/>
          <w:sz w:val="28"/>
        </w:rPr>
        <w:t xml:space="preserve">
      95. Корректно установленные уровни тревоги и действия позволяют обеспечить раннее выявление неблагоприятных тенденций. </w:t>
      </w:r>
    </w:p>
    <w:bookmarkEnd w:id="267"/>
    <w:bookmarkStart w:name="z290" w:id="268"/>
    <w:p>
      <w:pPr>
        <w:spacing w:after="0"/>
        <w:ind w:left="0"/>
        <w:jc w:val="both"/>
      </w:pPr>
      <w:r>
        <w:rPr>
          <w:rFonts w:ascii="Times New Roman"/>
          <w:b w:val="false"/>
          <w:i w:val="false"/>
          <w:color w:val="000000"/>
          <w:sz w:val="28"/>
        </w:rPr>
        <w:t xml:space="preserve">
      96. Существуют разные пути интеграции уровней тревоги и действия в программу мониторинга. В одном случае, максимальный предел действия дополняется уровнем тревоги, установленном на основе предшествующих данных. В другом случае, максимальный предел действия дополняется двумя контрольными уровнями – уровнем тревоги и уровнем действия. </w:t>
      </w:r>
    </w:p>
    <w:bookmarkEnd w:id="268"/>
    <w:bookmarkStart w:name="z291" w:id="269"/>
    <w:p>
      <w:pPr>
        <w:spacing w:after="0"/>
        <w:ind w:left="0"/>
        <w:jc w:val="both"/>
      </w:pPr>
      <w:r>
        <w:rPr>
          <w:rFonts w:ascii="Times New Roman"/>
          <w:b w:val="false"/>
          <w:i w:val="false"/>
          <w:color w:val="000000"/>
          <w:sz w:val="28"/>
        </w:rPr>
        <w:t>
      97. В отношении критических производственных помещений (зон) асептического процесса целесообразно использовать 1 значение контрольного уровня, которое одновременно является уровнем тревоги и уровнем действия.</w:t>
      </w:r>
    </w:p>
    <w:bookmarkEnd w:id="269"/>
    <w:bookmarkStart w:name="z292" w:id="270"/>
    <w:p>
      <w:pPr>
        <w:spacing w:after="0"/>
        <w:ind w:left="0"/>
        <w:jc w:val="both"/>
      </w:pPr>
      <w:r>
        <w:rPr>
          <w:rFonts w:ascii="Times New Roman"/>
          <w:b w:val="false"/>
          <w:i w:val="false"/>
          <w:color w:val="000000"/>
          <w:sz w:val="28"/>
        </w:rPr>
        <w:t>
      98. Применение уровней тревоги и действия следует осуществлять в соответствии с письменной процедурой. Для обеспечения постоянства в анализе уровней тревоги и (или) действия, необходимо заранее определить порядок их расследования и (или) предпринимаемых корректирующих действий. Записи должны свидетельствовать о том, что любое превышение указанных уровней было оценено и проведено соответствующее последующее наблюдение.</w:t>
      </w:r>
    </w:p>
    <w:bookmarkEnd w:id="270"/>
    <w:bookmarkStart w:name="z293" w:id="271"/>
    <w:p>
      <w:pPr>
        <w:spacing w:after="0"/>
        <w:ind w:left="0"/>
        <w:jc w:val="left"/>
      </w:pPr>
      <w:r>
        <w:rPr>
          <w:rFonts w:ascii="Times New Roman"/>
          <w:b/>
          <w:i w:val="false"/>
          <w:color w:val="000000"/>
        </w:rPr>
        <w:t xml:space="preserve"> 1. Определение числовых значений уровней тревоги и действия при отсутствии предшествующих данных</w:t>
      </w:r>
    </w:p>
    <w:bookmarkEnd w:id="271"/>
    <w:bookmarkStart w:name="z294" w:id="272"/>
    <w:p>
      <w:pPr>
        <w:spacing w:after="0"/>
        <w:ind w:left="0"/>
        <w:jc w:val="both"/>
      </w:pPr>
      <w:r>
        <w:rPr>
          <w:rFonts w:ascii="Times New Roman"/>
          <w:b w:val="false"/>
          <w:i w:val="false"/>
          <w:color w:val="000000"/>
          <w:sz w:val="28"/>
        </w:rPr>
        <w:t>
      99. На начальном этапе, при отсутствии предшествующих данных, уровни тревоги и действия могут быть определены как процент от максимального предела действия на основе анализа рисков с учетом результатов квалификации (валидации).</w:t>
      </w:r>
    </w:p>
    <w:bookmarkEnd w:id="272"/>
    <w:bookmarkStart w:name="z295" w:id="273"/>
    <w:p>
      <w:pPr>
        <w:spacing w:after="0"/>
        <w:ind w:left="0"/>
        <w:jc w:val="both"/>
      </w:pPr>
      <w:r>
        <w:rPr>
          <w:rFonts w:ascii="Times New Roman"/>
          <w:b w:val="false"/>
          <w:i w:val="false"/>
          <w:color w:val="000000"/>
          <w:sz w:val="28"/>
        </w:rPr>
        <w:t>
      Возможные значения уровней тревоги и действия, полученные на основе анализа рисков, приведены в таблицах 7 и 8 и могут быть уточнены по результатам квалификации (валидации).</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97" w:id="274"/>
    <w:p>
      <w:pPr>
        <w:spacing w:after="0"/>
        <w:ind w:left="0"/>
        <w:jc w:val="left"/>
      </w:pPr>
      <w:r>
        <w:rPr>
          <w:rFonts w:ascii="Times New Roman"/>
          <w:b/>
          <w:i w:val="false"/>
          <w:color w:val="000000"/>
        </w:rPr>
        <w:t xml:space="preserve"> Возможные значения уровней тревоги и действия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пределы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5"/>
          <w:p>
            <w:pPr>
              <w:spacing w:after="20"/>
              <w:ind w:left="20"/>
              <w:jc w:val="both"/>
            </w:pPr>
            <w:r>
              <w:rPr>
                <w:rFonts w:ascii="Times New Roman"/>
                <w:b w:val="false"/>
                <w:i w:val="false"/>
                <w:color w:val="000000"/>
                <w:sz w:val="20"/>
              </w:rPr>
              <w:t>
Уровень действия</w:t>
            </w:r>
          </w:p>
          <w:bookmarkEnd w:id="275"/>
          <w:p>
            <w:pPr>
              <w:spacing w:after="20"/>
              <w:ind w:left="20"/>
              <w:jc w:val="both"/>
            </w:pPr>
            <w:r>
              <w:rPr>
                <w:rFonts w:ascii="Times New Roman"/>
                <w:b w:val="false"/>
                <w:i w:val="false"/>
                <w:color w:val="000000"/>
                <w:sz w:val="20"/>
              </w:rPr>
              <w:t>
(75 % от максимального предела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6"/>
          <w:p>
            <w:pPr>
              <w:spacing w:after="20"/>
              <w:ind w:left="20"/>
              <w:jc w:val="both"/>
            </w:pPr>
            <w:r>
              <w:rPr>
                <w:rFonts w:ascii="Times New Roman"/>
                <w:b w:val="false"/>
                <w:i w:val="false"/>
                <w:color w:val="000000"/>
                <w:sz w:val="20"/>
              </w:rPr>
              <w:t>
Уровень тревоги</w:t>
            </w:r>
          </w:p>
          <w:bookmarkEnd w:id="276"/>
          <w:p>
            <w:pPr>
              <w:spacing w:after="20"/>
              <w:ind w:left="20"/>
              <w:jc w:val="both"/>
            </w:pPr>
            <w:r>
              <w:rPr>
                <w:rFonts w:ascii="Times New Roman"/>
                <w:b w:val="false"/>
                <w:i w:val="false"/>
                <w:color w:val="000000"/>
                <w:sz w:val="20"/>
              </w:rPr>
              <w:t>
(50 % от максимального предела 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(седиментация, КОЕ/4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(аспирация, КОЕ/м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(контактные пластины (диаметр – 55 мм), КОЕ/пластина)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01" w:id="277"/>
    <w:p>
      <w:pPr>
        <w:spacing w:after="0"/>
        <w:ind w:left="0"/>
        <w:jc w:val="left"/>
      </w:pPr>
      <w:r>
        <w:rPr>
          <w:rFonts w:ascii="Times New Roman"/>
          <w:b/>
          <w:i w:val="false"/>
          <w:color w:val="000000"/>
        </w:rPr>
        <w:t xml:space="preserve"> Возможные значения уровней тревоги и действия</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пределы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Уровень действия</w:t>
            </w:r>
          </w:p>
          <w:bookmarkEnd w:id="278"/>
          <w:p>
            <w:pPr>
              <w:spacing w:after="20"/>
              <w:ind w:left="20"/>
              <w:jc w:val="both"/>
            </w:pPr>
            <w:r>
              <w:rPr>
                <w:rFonts w:ascii="Times New Roman"/>
                <w:b w:val="false"/>
                <w:i w:val="false"/>
                <w:color w:val="000000"/>
                <w:sz w:val="20"/>
              </w:rPr>
              <w:t>
(50 % от максимального предела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Уровень тревоги</w:t>
            </w:r>
          </w:p>
          <w:bookmarkEnd w:id="279"/>
          <w:p>
            <w:pPr>
              <w:spacing w:after="20"/>
              <w:ind w:left="20"/>
              <w:jc w:val="both"/>
            </w:pPr>
            <w:r>
              <w:rPr>
                <w:rFonts w:ascii="Times New Roman"/>
                <w:b w:val="false"/>
                <w:i w:val="false"/>
                <w:color w:val="000000"/>
                <w:sz w:val="20"/>
              </w:rPr>
              <w:t>
(25 % от уровня 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(седиментация, КОЕ/4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(аспирация, КОЕ/м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(контактные пластины (диаметр – 55 мм), КОЕ/пластина)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4" w:id="280"/>
    <w:p>
      <w:pPr>
        <w:spacing w:after="0"/>
        <w:ind w:left="0"/>
        <w:jc w:val="left"/>
      </w:pPr>
      <w:r>
        <w:rPr>
          <w:rFonts w:ascii="Times New Roman"/>
          <w:b/>
          <w:i w:val="false"/>
          <w:color w:val="000000"/>
        </w:rPr>
        <w:t xml:space="preserve"> 2. Определение числовых значений уровней тревоги и действия на основе накопленных предшествующих данных</w:t>
      </w:r>
    </w:p>
    <w:bookmarkEnd w:id="280"/>
    <w:bookmarkStart w:name="z305" w:id="281"/>
    <w:p>
      <w:pPr>
        <w:spacing w:after="0"/>
        <w:ind w:left="0"/>
        <w:jc w:val="both"/>
      </w:pPr>
      <w:r>
        <w:rPr>
          <w:rFonts w:ascii="Times New Roman"/>
          <w:b w:val="false"/>
          <w:i w:val="false"/>
          <w:color w:val="000000"/>
          <w:sz w:val="28"/>
        </w:rPr>
        <w:t xml:space="preserve">
      100. Уровни тревоги и (или) уровни действия определяются статистически на основе накопленных предшествующих данных. При таком подходе возможны случайные отклонения от этих уровней на частотах, характерных для конкретной математической модели, используемой при их расчете. </w:t>
      </w:r>
    </w:p>
    <w:bookmarkEnd w:id="281"/>
    <w:bookmarkStart w:name="z306" w:id="282"/>
    <w:p>
      <w:pPr>
        <w:spacing w:after="0"/>
        <w:ind w:left="0"/>
        <w:jc w:val="both"/>
      </w:pPr>
      <w:r>
        <w:rPr>
          <w:rFonts w:ascii="Times New Roman"/>
          <w:b w:val="false"/>
          <w:i w:val="false"/>
          <w:color w:val="000000"/>
          <w:sz w:val="28"/>
        </w:rPr>
        <w:t>
      101. Для мониторинга процессов и определения уровней тревоги и действия используются различные статистические инструменты, при выборе которых следует учитывать их пригодность к анализу микробиологических данных, имеющих следующие критические признаки:</w:t>
      </w:r>
    </w:p>
    <w:bookmarkEnd w:id="282"/>
    <w:bookmarkStart w:name="z307" w:id="283"/>
    <w:p>
      <w:pPr>
        <w:spacing w:after="0"/>
        <w:ind w:left="0"/>
        <w:jc w:val="both"/>
      </w:pPr>
      <w:r>
        <w:rPr>
          <w:rFonts w:ascii="Times New Roman"/>
          <w:b w:val="false"/>
          <w:i w:val="false"/>
          <w:color w:val="000000"/>
          <w:sz w:val="28"/>
        </w:rPr>
        <w:t>
      обычно не имеют нормального распределения;</w:t>
      </w:r>
    </w:p>
    <w:bookmarkEnd w:id="283"/>
    <w:bookmarkStart w:name="z308" w:id="284"/>
    <w:p>
      <w:pPr>
        <w:spacing w:after="0"/>
        <w:ind w:left="0"/>
        <w:jc w:val="both"/>
      </w:pPr>
      <w:r>
        <w:rPr>
          <w:rFonts w:ascii="Times New Roman"/>
          <w:b w:val="false"/>
          <w:i w:val="false"/>
          <w:color w:val="000000"/>
          <w:sz w:val="28"/>
        </w:rPr>
        <w:t>
      часто содержат много нулевых значений;</w:t>
      </w:r>
    </w:p>
    <w:bookmarkEnd w:id="284"/>
    <w:bookmarkStart w:name="z309" w:id="285"/>
    <w:p>
      <w:pPr>
        <w:spacing w:after="0"/>
        <w:ind w:left="0"/>
        <w:jc w:val="both"/>
      </w:pPr>
      <w:r>
        <w:rPr>
          <w:rFonts w:ascii="Times New Roman"/>
          <w:b w:val="false"/>
          <w:i w:val="false"/>
          <w:color w:val="000000"/>
          <w:sz w:val="28"/>
        </w:rPr>
        <w:t xml:space="preserve">
      обладают высокой вариабельностью; </w:t>
      </w:r>
    </w:p>
    <w:bookmarkEnd w:id="285"/>
    <w:bookmarkStart w:name="z310" w:id="286"/>
    <w:p>
      <w:pPr>
        <w:spacing w:after="0"/>
        <w:ind w:left="0"/>
        <w:jc w:val="both"/>
      </w:pPr>
      <w:r>
        <w:rPr>
          <w:rFonts w:ascii="Times New Roman"/>
          <w:b w:val="false"/>
          <w:i w:val="false"/>
          <w:color w:val="000000"/>
          <w:sz w:val="28"/>
        </w:rPr>
        <w:t>
      сильно рассеяны;</w:t>
      </w:r>
    </w:p>
    <w:bookmarkEnd w:id="286"/>
    <w:bookmarkStart w:name="z311" w:id="287"/>
    <w:p>
      <w:pPr>
        <w:spacing w:after="0"/>
        <w:ind w:left="0"/>
        <w:jc w:val="both"/>
      </w:pPr>
      <w:r>
        <w:rPr>
          <w:rFonts w:ascii="Times New Roman"/>
          <w:b w:val="false"/>
          <w:i w:val="false"/>
          <w:color w:val="000000"/>
          <w:sz w:val="28"/>
        </w:rPr>
        <w:t>
      имеют в некоторых случаях только небольшое количество доступных для анализа данных (например, когда применяется выборочный контроль).</w:t>
      </w:r>
    </w:p>
    <w:bookmarkEnd w:id="287"/>
    <w:bookmarkStart w:name="z312" w:id="288"/>
    <w:p>
      <w:pPr>
        <w:spacing w:after="0"/>
        <w:ind w:left="0"/>
        <w:jc w:val="both"/>
      </w:pPr>
      <w:r>
        <w:rPr>
          <w:rFonts w:ascii="Times New Roman"/>
          <w:b w:val="false"/>
          <w:i w:val="false"/>
          <w:color w:val="000000"/>
          <w:sz w:val="28"/>
        </w:rPr>
        <w:t>
      102. Приемлемые варианты статистических инструментов для обработки результатов мониторинга для определения числовых значений уровней тревоги и действия приведены в приложении № 3.</w:t>
      </w:r>
    </w:p>
    <w:bookmarkEnd w:id="288"/>
    <w:bookmarkStart w:name="z313" w:id="289"/>
    <w:p>
      <w:pPr>
        <w:spacing w:after="0"/>
        <w:ind w:left="0"/>
        <w:jc w:val="both"/>
      </w:pPr>
      <w:r>
        <w:rPr>
          <w:rFonts w:ascii="Times New Roman"/>
          <w:b w:val="false"/>
          <w:i w:val="false"/>
          <w:color w:val="000000"/>
          <w:sz w:val="28"/>
        </w:rPr>
        <w:t>
      103. В целях исключения слишком высоких значений уровней тревоги и действия при расчете с использованием статистических методов следует исключать данные, превышающие максимальные пределы действия.</w:t>
      </w:r>
    </w:p>
    <w:bookmarkEnd w:id="289"/>
    <w:bookmarkStart w:name="z314" w:id="290"/>
    <w:p>
      <w:pPr>
        <w:spacing w:after="0"/>
        <w:ind w:left="0"/>
        <w:jc w:val="both"/>
      </w:pPr>
      <w:r>
        <w:rPr>
          <w:rFonts w:ascii="Times New Roman"/>
          <w:b w:val="false"/>
          <w:i w:val="false"/>
          <w:color w:val="000000"/>
          <w:sz w:val="28"/>
        </w:rPr>
        <w:t xml:space="preserve">
      104. Рассчитанные контрольные уровни следует пересматривать не реже 1 раза в год или с иной периодичностью, если она обоснована программой мониторинга и обеспечивает включение в расчет достаточное количество дополнительных результатов мониторинга. </w:t>
      </w:r>
    </w:p>
    <w:bookmarkEnd w:id="290"/>
    <w:bookmarkStart w:name="z315" w:id="291"/>
    <w:p>
      <w:pPr>
        <w:spacing w:after="0"/>
        <w:ind w:left="0"/>
        <w:jc w:val="left"/>
      </w:pPr>
      <w:r>
        <w:rPr>
          <w:rFonts w:ascii="Times New Roman"/>
          <w:b/>
          <w:i w:val="false"/>
          <w:color w:val="000000"/>
        </w:rPr>
        <w:t xml:space="preserve"> IX. Оценка трендов (тренд-анализ)</w:t>
      </w:r>
    </w:p>
    <w:bookmarkEnd w:id="291"/>
    <w:bookmarkStart w:name="z316" w:id="292"/>
    <w:p>
      <w:pPr>
        <w:spacing w:after="0"/>
        <w:ind w:left="0"/>
        <w:jc w:val="both"/>
      </w:pPr>
      <w:r>
        <w:rPr>
          <w:rFonts w:ascii="Times New Roman"/>
          <w:b w:val="false"/>
          <w:i w:val="false"/>
          <w:color w:val="000000"/>
          <w:sz w:val="28"/>
        </w:rPr>
        <w:t>
      105. Процедуры мониторинга должны определять подход к оценке трендов и устанавливать порядок действий, предпринимаемых в случае выявления неблагоприятных тенденций или отклонений</w:t>
      </w:r>
      <w:r>
        <w:rPr>
          <w:rFonts w:ascii="Times New Roman"/>
          <w:b w:val="false"/>
          <w:i w:val="false"/>
          <w:color w:val="000000"/>
          <w:sz w:val="28"/>
        </w:rPr>
        <w:t>.</w:t>
      </w:r>
      <w:r>
        <w:rPr>
          <w:rFonts w:ascii="Times New Roman"/>
          <w:b w:val="false"/>
          <w:i w:val="false"/>
          <w:color w:val="000000"/>
          <w:sz w:val="28"/>
        </w:rPr>
        <w:t xml:space="preserve"> </w:t>
      </w:r>
    </w:p>
    <w:bookmarkEnd w:id="292"/>
    <w:bookmarkStart w:name="z317" w:id="293"/>
    <w:p>
      <w:pPr>
        <w:spacing w:after="0"/>
        <w:ind w:left="0"/>
        <w:jc w:val="both"/>
      </w:pPr>
      <w:r>
        <w:rPr>
          <w:rFonts w:ascii="Times New Roman"/>
          <w:b w:val="false"/>
          <w:i w:val="false"/>
          <w:color w:val="000000"/>
          <w:sz w:val="28"/>
        </w:rPr>
        <w:t xml:space="preserve">
      106. Тренды включают в себя следующее, но не ограничиваются этим: </w:t>
      </w:r>
    </w:p>
    <w:bookmarkEnd w:id="293"/>
    <w:bookmarkStart w:name="z318" w:id="294"/>
    <w:p>
      <w:pPr>
        <w:spacing w:after="0"/>
        <w:ind w:left="0"/>
        <w:jc w:val="both"/>
      </w:pPr>
      <w:r>
        <w:rPr>
          <w:rFonts w:ascii="Times New Roman"/>
          <w:b w:val="false"/>
          <w:i w:val="false"/>
          <w:color w:val="000000"/>
          <w:sz w:val="28"/>
        </w:rPr>
        <w:t>
      а) увеличение количества выходов за пределы действия или уровни тревоги;</w:t>
      </w:r>
    </w:p>
    <w:bookmarkEnd w:id="294"/>
    <w:bookmarkStart w:name="z319" w:id="295"/>
    <w:p>
      <w:pPr>
        <w:spacing w:after="0"/>
        <w:ind w:left="0"/>
        <w:jc w:val="both"/>
      </w:pPr>
      <w:r>
        <w:rPr>
          <w:rFonts w:ascii="Times New Roman"/>
          <w:b w:val="false"/>
          <w:i w:val="false"/>
          <w:color w:val="000000"/>
          <w:sz w:val="28"/>
        </w:rPr>
        <w:t>
      б) последовательные (следующие друг за другом) выходы за уровни тревоги;</w:t>
      </w:r>
    </w:p>
    <w:bookmarkEnd w:id="295"/>
    <w:bookmarkStart w:name="z320" w:id="296"/>
    <w:p>
      <w:pPr>
        <w:spacing w:after="0"/>
        <w:ind w:left="0"/>
        <w:jc w:val="both"/>
      </w:pPr>
      <w:r>
        <w:rPr>
          <w:rFonts w:ascii="Times New Roman"/>
          <w:b w:val="false"/>
          <w:i w:val="false"/>
          <w:color w:val="000000"/>
          <w:sz w:val="28"/>
        </w:rPr>
        <w:t xml:space="preserve">
      в) регулярные, но отдельные нарушения пределов действия, которые могут иметь общую причину (например, отдельные (единичные) отклонения, которые всегда происходят после планового профилактического обслуживания); </w:t>
      </w:r>
    </w:p>
    <w:bookmarkEnd w:id="296"/>
    <w:bookmarkStart w:name="z321" w:id="297"/>
    <w:p>
      <w:pPr>
        <w:spacing w:after="0"/>
        <w:ind w:left="0"/>
        <w:jc w:val="both"/>
      </w:pPr>
      <w:r>
        <w:rPr>
          <w:rFonts w:ascii="Times New Roman"/>
          <w:b w:val="false"/>
          <w:i w:val="false"/>
          <w:color w:val="000000"/>
          <w:sz w:val="28"/>
        </w:rPr>
        <w:t xml:space="preserve">
      г) изменения типа микробиологической флоры, а также количества и преобладания в нем определенных микроорганизмов. Особое внимание следует уделять обнаруженным микроорганизмам, которые могут указывать на потерю контроля, ухудшение чистоты или наличие микроорганизмов, которые сложно контролировать (например, спорообразующие микроорганизмы и плесневые грибы). </w:t>
      </w:r>
    </w:p>
    <w:bookmarkEnd w:id="297"/>
    <w:bookmarkStart w:name="z322" w:id="298"/>
    <w:p>
      <w:pPr>
        <w:spacing w:after="0"/>
        <w:ind w:left="0"/>
        <w:jc w:val="both"/>
      </w:pPr>
      <w:r>
        <w:rPr>
          <w:rFonts w:ascii="Times New Roman"/>
          <w:b w:val="false"/>
          <w:i w:val="false"/>
          <w:color w:val="000000"/>
          <w:sz w:val="28"/>
        </w:rPr>
        <w:t>
      107. Оценка трендов позволяет проанализировать долгосрочные изменения данных мониторинга, выявить точки выхода процесса из стабильного состояния и определить направление и интенсивность изменений микробиологического статуса производственной среды. Для визуализации рекомендуется использовать графики распределения результатов мониторинга.</w:t>
      </w:r>
    </w:p>
    <w:bookmarkEnd w:id="298"/>
    <w:bookmarkStart w:name="z323" w:id="299"/>
    <w:p>
      <w:pPr>
        <w:spacing w:after="0"/>
        <w:ind w:left="0"/>
        <w:jc w:val="both"/>
      </w:pPr>
      <w:r>
        <w:rPr>
          <w:rFonts w:ascii="Times New Roman"/>
          <w:b w:val="false"/>
          <w:i w:val="false"/>
          <w:color w:val="000000"/>
          <w:sz w:val="28"/>
        </w:rPr>
        <w:t>
      108. Статистическую оценку данных мониторинга следует проводить производителю не реже 1 раза в год. При статистической обработке не учитываются результаты, выходящие за установленные максимальные пределы действия.</w:t>
      </w:r>
    </w:p>
    <w:bookmarkEnd w:id="299"/>
    <w:bookmarkStart w:name="z324" w:id="300"/>
    <w:p>
      <w:pPr>
        <w:spacing w:after="0"/>
        <w:ind w:left="0"/>
        <w:jc w:val="both"/>
      </w:pPr>
      <w:r>
        <w:rPr>
          <w:rFonts w:ascii="Times New Roman"/>
          <w:b w:val="false"/>
          <w:i w:val="false"/>
          <w:color w:val="000000"/>
          <w:sz w:val="28"/>
        </w:rPr>
        <w:t>
      109. Основные этапы проведения оценки трендов:</w:t>
      </w:r>
    </w:p>
    <w:bookmarkEnd w:id="300"/>
    <w:bookmarkStart w:name="z325" w:id="301"/>
    <w:p>
      <w:pPr>
        <w:spacing w:after="0"/>
        <w:ind w:left="0"/>
        <w:jc w:val="both"/>
      </w:pPr>
      <w:r>
        <w:rPr>
          <w:rFonts w:ascii="Times New Roman"/>
          <w:b w:val="false"/>
          <w:i w:val="false"/>
          <w:color w:val="000000"/>
          <w:sz w:val="28"/>
        </w:rPr>
        <w:t>
      а) сбор данных;</w:t>
      </w:r>
    </w:p>
    <w:bookmarkEnd w:id="301"/>
    <w:bookmarkStart w:name="z326" w:id="302"/>
    <w:p>
      <w:pPr>
        <w:spacing w:after="0"/>
        <w:ind w:left="0"/>
        <w:jc w:val="both"/>
      </w:pPr>
      <w:r>
        <w:rPr>
          <w:rFonts w:ascii="Times New Roman"/>
          <w:b w:val="false"/>
          <w:i w:val="false"/>
          <w:color w:val="000000"/>
          <w:sz w:val="28"/>
        </w:rPr>
        <w:t>
      б) выбор методов анализа;</w:t>
      </w:r>
    </w:p>
    <w:bookmarkEnd w:id="302"/>
    <w:bookmarkStart w:name="z327" w:id="303"/>
    <w:p>
      <w:pPr>
        <w:spacing w:after="0"/>
        <w:ind w:left="0"/>
        <w:jc w:val="both"/>
      </w:pPr>
      <w:r>
        <w:rPr>
          <w:rFonts w:ascii="Times New Roman"/>
          <w:b w:val="false"/>
          <w:i w:val="false"/>
          <w:color w:val="000000"/>
          <w:sz w:val="28"/>
        </w:rPr>
        <w:t>
      в) статистический анализ данных (определение и анализ выборки, сравнительный анализ выборок);</w:t>
      </w:r>
    </w:p>
    <w:bookmarkEnd w:id="303"/>
    <w:bookmarkStart w:name="z328" w:id="304"/>
    <w:p>
      <w:pPr>
        <w:spacing w:after="0"/>
        <w:ind w:left="0"/>
        <w:jc w:val="both"/>
      </w:pPr>
      <w:r>
        <w:rPr>
          <w:rFonts w:ascii="Times New Roman"/>
          <w:b w:val="false"/>
          <w:i w:val="false"/>
          <w:color w:val="000000"/>
          <w:sz w:val="28"/>
        </w:rPr>
        <w:t>
      г) интерпретация результатов проведенного анализа.</w:t>
      </w:r>
    </w:p>
    <w:bookmarkEnd w:id="304"/>
    <w:bookmarkStart w:name="z329" w:id="305"/>
    <w:p>
      <w:pPr>
        <w:spacing w:after="0"/>
        <w:ind w:left="0"/>
        <w:jc w:val="both"/>
      </w:pPr>
      <w:r>
        <w:rPr>
          <w:rFonts w:ascii="Times New Roman"/>
          <w:b w:val="false"/>
          <w:i w:val="false"/>
          <w:color w:val="000000"/>
          <w:sz w:val="28"/>
        </w:rPr>
        <w:t>
      110. Результаты оценки трендов являются основанием для разработки корректирующих и предупреждающих действий, направленных на снижение риска микробной контаминации и поддержание приемлемого уровня микробной нагрузки производственной среды.</w:t>
      </w:r>
    </w:p>
    <w:bookmarkEnd w:id="305"/>
    <w:bookmarkStart w:name="z330" w:id="306"/>
    <w:p>
      <w:pPr>
        <w:spacing w:after="0"/>
        <w:ind w:left="0"/>
        <w:jc w:val="both"/>
      </w:pPr>
      <w:r>
        <w:rPr>
          <w:rFonts w:ascii="Times New Roman"/>
          <w:b w:val="false"/>
          <w:i w:val="false"/>
          <w:color w:val="000000"/>
          <w:sz w:val="28"/>
        </w:rPr>
        <w:t>
      111. На основании результатов оценки трендов осуществляется расчет уровней тревоги и действия для следующего отчетного периода.</w:t>
      </w:r>
    </w:p>
    <w:bookmarkEnd w:id="306"/>
    <w:bookmarkStart w:name="z331" w:id="307"/>
    <w:p>
      <w:pPr>
        <w:spacing w:after="0"/>
        <w:ind w:left="0"/>
        <w:jc w:val="both"/>
      </w:pPr>
      <w:r>
        <w:rPr>
          <w:rFonts w:ascii="Times New Roman"/>
          <w:b w:val="false"/>
          <w:i w:val="false"/>
          <w:color w:val="000000"/>
          <w:sz w:val="28"/>
        </w:rPr>
        <w:t>
      112. Рекомендуется применять следующие оценки трендов:</w:t>
      </w:r>
    </w:p>
    <w:bookmarkEnd w:id="307"/>
    <w:bookmarkStart w:name="z332" w:id="308"/>
    <w:p>
      <w:pPr>
        <w:spacing w:after="0"/>
        <w:ind w:left="0"/>
        <w:jc w:val="both"/>
      </w:pPr>
      <w:r>
        <w:rPr>
          <w:rFonts w:ascii="Times New Roman"/>
          <w:b w:val="false"/>
          <w:i w:val="false"/>
          <w:color w:val="000000"/>
          <w:sz w:val="28"/>
        </w:rPr>
        <w:t>
      а) анализ контрольной точки.</w:t>
      </w:r>
    </w:p>
    <w:bookmarkEnd w:id="308"/>
    <w:bookmarkStart w:name="z333" w:id="309"/>
    <w:p>
      <w:pPr>
        <w:spacing w:after="0"/>
        <w:ind w:left="0"/>
        <w:jc w:val="both"/>
      </w:pPr>
      <w:r>
        <w:rPr>
          <w:rFonts w:ascii="Times New Roman"/>
          <w:b w:val="false"/>
          <w:i w:val="false"/>
          <w:color w:val="000000"/>
          <w:sz w:val="28"/>
        </w:rPr>
        <w:t>
      Данный метод графически описывает микробную нагрузку в определенной точке контроля в определенный момент времени и наглядно демонстрирует выход точки за установленные уровни. Для визуализации используются графики распределения результатов с изображением (линиями) уровней тревоги и действия, а также максимально допустимого предела микробной контаминации;</w:t>
      </w:r>
    </w:p>
    <w:bookmarkEnd w:id="309"/>
    <w:bookmarkStart w:name="z334" w:id="310"/>
    <w:p>
      <w:pPr>
        <w:spacing w:after="0"/>
        <w:ind w:left="0"/>
        <w:jc w:val="both"/>
      </w:pPr>
      <w:r>
        <w:rPr>
          <w:rFonts w:ascii="Times New Roman"/>
          <w:b w:val="false"/>
          <w:i w:val="false"/>
          <w:color w:val="000000"/>
          <w:sz w:val="28"/>
        </w:rPr>
        <w:t>
      б) частота обнаружения.</w:t>
      </w:r>
    </w:p>
    <w:bookmarkEnd w:id="310"/>
    <w:bookmarkStart w:name="z335" w:id="311"/>
    <w:p>
      <w:pPr>
        <w:spacing w:after="0"/>
        <w:ind w:left="0"/>
        <w:jc w:val="both"/>
      </w:pPr>
      <w:r>
        <w:rPr>
          <w:rFonts w:ascii="Times New Roman"/>
          <w:b w:val="false"/>
          <w:i w:val="false"/>
          <w:color w:val="000000"/>
          <w:sz w:val="28"/>
        </w:rPr>
        <w:t xml:space="preserve">
      113. Для асептического производства допускается использовать метод обнаружения случайных колебаний от устойчивых тенденций, описанный в монографиях &lt;1032&gt; и &lt;1033&gt; Фармакопеи США (в соответствии с Концепцией гармонизации фармакопей государств – членов Евразийской экономической комиссии,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22 сентября 2015 г. № 119). Метод позволяет оценить данные по факту микробного роста, определив процентное отношение образцов с любыми проростами к общему количеству отобранных проб. Например, частота обнаружения, равная 1 %, будет означать, что 1 % отобранных проб имеет какую-либо контаминацию, независимо от количества колоний (99 % отобранных проб полностью свободны от микробной контаминации). </w:t>
      </w:r>
    </w:p>
    <w:bookmarkEnd w:id="311"/>
    <w:bookmarkStart w:name="z336" w:id="312"/>
    <w:p>
      <w:pPr>
        <w:spacing w:after="0"/>
        <w:ind w:left="0"/>
        <w:jc w:val="both"/>
      </w:pPr>
      <w:r>
        <w:rPr>
          <w:rFonts w:ascii="Times New Roman"/>
          <w:b w:val="false"/>
          <w:i w:val="false"/>
          <w:color w:val="000000"/>
          <w:sz w:val="28"/>
        </w:rPr>
        <w:t>
      Показатель "частота обнаружения" рассчитывается по формуле:</w:t>
      </w:r>
    </w:p>
    <w:bookmarkEnd w:id="312"/>
    <w:bookmarkStart w:name="z337"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14"/>
    <w:p>
      <w:pPr>
        <w:spacing w:after="0"/>
        <w:ind w:left="0"/>
        <w:jc w:val="both"/>
      </w:pPr>
      <w:r>
        <w:rPr>
          <w:rFonts w:ascii="Times New Roman"/>
          <w:b w:val="false"/>
          <w:i w:val="false"/>
          <w:color w:val="000000"/>
          <w:sz w:val="28"/>
        </w:rPr>
        <w:t>
      Для оценки тренда используется сравнение показателя с предыдущим периодом.</w:t>
      </w:r>
    </w:p>
    <w:bookmarkEnd w:id="314"/>
    <w:bookmarkStart w:name="z339" w:id="315"/>
    <w:p>
      <w:pPr>
        <w:spacing w:after="0"/>
        <w:ind w:left="0"/>
        <w:jc w:val="both"/>
      </w:pPr>
      <w:r>
        <w:rPr>
          <w:rFonts w:ascii="Times New Roman"/>
          <w:b w:val="false"/>
          <w:i w:val="false"/>
          <w:color w:val="000000"/>
          <w:sz w:val="28"/>
        </w:rPr>
        <w:t>
      Производители нестерильных лекарственных средств также могут использовать принцип данного метода для установления критериев частоты обнаружения (например, определенных видов микроорганизмов в производственной среде и др.);</w:t>
      </w:r>
    </w:p>
    <w:bookmarkEnd w:id="315"/>
    <w:bookmarkStart w:name="z340" w:id="316"/>
    <w:p>
      <w:pPr>
        <w:spacing w:after="0"/>
        <w:ind w:left="0"/>
        <w:jc w:val="both"/>
      </w:pPr>
      <w:r>
        <w:rPr>
          <w:rFonts w:ascii="Times New Roman"/>
          <w:b w:val="false"/>
          <w:i w:val="false"/>
          <w:color w:val="000000"/>
          <w:sz w:val="28"/>
        </w:rPr>
        <w:t>
      в) подход, основанный на предельных значениях (процентилях), согласно приложению № 3;</w:t>
      </w:r>
    </w:p>
    <w:bookmarkEnd w:id="316"/>
    <w:bookmarkStart w:name="z341" w:id="317"/>
    <w:p>
      <w:pPr>
        <w:spacing w:after="0"/>
        <w:ind w:left="0"/>
        <w:jc w:val="both"/>
      </w:pPr>
      <w:r>
        <w:rPr>
          <w:rFonts w:ascii="Times New Roman"/>
          <w:b w:val="false"/>
          <w:i w:val="false"/>
          <w:color w:val="000000"/>
          <w:sz w:val="28"/>
        </w:rPr>
        <w:t>
      г) подход, основанный на модели нормального распределения (правило 3</w:t>
      </w:r>
      <w:r>
        <w:rPr>
          <w:rFonts w:ascii="Times New Roman"/>
          <w:b w:val="false"/>
          <w:i w:val="false"/>
          <w:color w:val="000000"/>
          <w:sz w:val="28"/>
        </w:rPr>
        <w:t>s</w:t>
      </w:r>
      <w:r>
        <w:rPr>
          <w:rFonts w:ascii="Times New Roman"/>
          <w:b w:val="false"/>
          <w:i w:val="false"/>
          <w:color w:val="000000"/>
          <w:sz w:val="28"/>
        </w:rPr>
        <w:t>), согласно приложению № 3</w:t>
      </w:r>
    </w:p>
    <w:bookmarkEnd w:id="317"/>
    <w:bookmarkStart w:name="z342" w:id="318"/>
    <w:p>
      <w:pPr>
        <w:spacing w:after="0"/>
        <w:ind w:left="0"/>
        <w:jc w:val="both"/>
      </w:pPr>
      <w:r>
        <w:rPr>
          <w:rFonts w:ascii="Times New Roman"/>
          <w:b w:val="false"/>
          <w:i w:val="false"/>
          <w:color w:val="000000"/>
          <w:sz w:val="28"/>
        </w:rPr>
        <w:t>
      д) метод построения контрольной карты Шухарта согласно приложению № 3.</w:t>
      </w:r>
    </w:p>
    <w:bookmarkEnd w:id="318"/>
    <w:bookmarkStart w:name="z343" w:id="319"/>
    <w:p>
      <w:pPr>
        <w:spacing w:after="0"/>
        <w:ind w:left="0"/>
        <w:jc w:val="both"/>
      </w:pPr>
      <w:r>
        <w:rPr>
          <w:rFonts w:ascii="Times New Roman"/>
          <w:b w:val="false"/>
          <w:i w:val="false"/>
          <w:color w:val="000000"/>
          <w:sz w:val="28"/>
        </w:rPr>
        <w:t>
      е) обзор видового разнообразия.</w:t>
      </w:r>
    </w:p>
    <w:bookmarkEnd w:id="319"/>
    <w:bookmarkStart w:name="z344" w:id="320"/>
    <w:p>
      <w:pPr>
        <w:spacing w:after="0"/>
        <w:ind w:left="0"/>
        <w:jc w:val="both"/>
      </w:pPr>
      <w:r>
        <w:rPr>
          <w:rFonts w:ascii="Times New Roman"/>
          <w:b w:val="false"/>
          <w:i w:val="false"/>
          <w:color w:val="000000"/>
          <w:sz w:val="28"/>
        </w:rPr>
        <w:t>
      Метод обзора видового разнообразия позволяет выявить причины микробной контаминации производственной среды.</w:t>
      </w:r>
    </w:p>
    <w:bookmarkEnd w:id="320"/>
    <w:bookmarkStart w:name="z345" w:id="321"/>
    <w:p>
      <w:pPr>
        <w:spacing w:after="0"/>
        <w:ind w:left="0"/>
        <w:jc w:val="left"/>
      </w:pPr>
      <w:r>
        <w:rPr>
          <w:rFonts w:ascii="Times New Roman"/>
          <w:b/>
          <w:i w:val="false"/>
          <w:color w:val="000000"/>
        </w:rPr>
        <w:t xml:space="preserve"> Х. Идентификация микроорганизмов</w:t>
      </w:r>
    </w:p>
    <w:bookmarkEnd w:id="321"/>
    <w:bookmarkStart w:name="z346" w:id="322"/>
    <w:p>
      <w:pPr>
        <w:spacing w:after="0"/>
        <w:ind w:left="0"/>
        <w:jc w:val="both"/>
      </w:pPr>
      <w:r>
        <w:rPr>
          <w:rFonts w:ascii="Times New Roman"/>
          <w:b w:val="false"/>
          <w:i w:val="false"/>
          <w:color w:val="000000"/>
          <w:sz w:val="28"/>
        </w:rPr>
        <w:t>
      114. Идентификация микроорганизмов играет важную роль при оценке потенциального влияния микроорганизмов, выявленных в ходе мониторинга, на стабильность соответствующих условий производственной среды и качество продукта.</w:t>
      </w:r>
    </w:p>
    <w:bookmarkEnd w:id="322"/>
    <w:bookmarkStart w:name="z347" w:id="323"/>
    <w:p>
      <w:pPr>
        <w:spacing w:after="0"/>
        <w:ind w:left="0"/>
        <w:jc w:val="both"/>
      </w:pPr>
      <w:r>
        <w:rPr>
          <w:rFonts w:ascii="Times New Roman"/>
          <w:b w:val="false"/>
          <w:i w:val="false"/>
          <w:color w:val="000000"/>
          <w:sz w:val="28"/>
        </w:rPr>
        <w:t>
      115. Степень необходимой детализации свойств микроорганизмов, зависит от класса чистоты помещения (зоны), из которого микроорганизмы выделены и представлена в таблице 9.</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49" w:id="324"/>
    <w:p>
      <w:pPr>
        <w:spacing w:after="0"/>
        <w:ind w:left="0"/>
        <w:jc w:val="left"/>
      </w:pPr>
      <w:r>
        <w:rPr>
          <w:rFonts w:ascii="Times New Roman"/>
          <w:b/>
          <w:i w:val="false"/>
          <w:color w:val="000000"/>
        </w:rPr>
        <w:t xml:space="preserve"> Степень идентификации микроорганизмов, выделенных из производственной среды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Класс</w:t>
            </w:r>
          </w:p>
          <w:bookmarkEnd w:id="32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значении до уровня тревоги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6"/>
          <w:p>
            <w:pPr>
              <w:spacing w:after="20"/>
              <w:ind w:left="20"/>
              <w:jc w:val="both"/>
            </w:pPr>
            <w:r>
              <w:rPr>
                <w:rFonts w:ascii="Times New Roman"/>
                <w:b w:val="false"/>
                <w:i w:val="false"/>
                <w:color w:val="000000"/>
                <w:sz w:val="20"/>
              </w:rPr>
              <w:t>
при превышении</w:t>
            </w:r>
          </w:p>
          <w:bookmarkEnd w:id="326"/>
          <w:p>
            <w:pPr>
              <w:spacing w:after="20"/>
              <w:ind w:left="20"/>
              <w:jc w:val="both"/>
            </w:pPr>
            <w:r>
              <w:rPr>
                <w:rFonts w:ascii="Times New Roman"/>
                <w:b w:val="false"/>
                <w:i w:val="false"/>
                <w:color w:val="000000"/>
                <w:sz w:val="20"/>
              </w:rPr>
              <w:t>
уровня тревоги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7"/>
          <w:p>
            <w:pPr>
              <w:spacing w:after="20"/>
              <w:ind w:left="20"/>
              <w:jc w:val="both"/>
            </w:pPr>
            <w:r>
              <w:rPr>
                <w:rFonts w:ascii="Times New Roman"/>
                <w:b w:val="false"/>
                <w:i w:val="false"/>
                <w:color w:val="000000"/>
                <w:sz w:val="20"/>
              </w:rPr>
              <w:t>
при превышении</w:t>
            </w:r>
          </w:p>
          <w:bookmarkEnd w:id="327"/>
          <w:p>
            <w:pPr>
              <w:spacing w:after="20"/>
              <w:ind w:left="20"/>
              <w:jc w:val="both"/>
            </w:pPr>
            <w:r>
              <w:rPr>
                <w:rFonts w:ascii="Times New Roman"/>
                <w:b w:val="false"/>
                <w:i w:val="false"/>
                <w:color w:val="000000"/>
                <w:sz w:val="20"/>
              </w:rPr>
              <w:t>
уровня действия (максимального предела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выделении спорообразующих микроорганизмов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выделении плесневых грибов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w:t>
            </w:r>
            <w:r>
              <w:rPr>
                <w:rFonts w:ascii="Times New Roman"/>
                <w:b w:val="false"/>
                <w:i w:val="false"/>
                <w:color w:val="000000"/>
                <w:vertAlign w:val="superscript"/>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до вида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D</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культуральным, морфологическим признакам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w:t>
            </w:r>
          </w:p>
          <w:p>
            <w:pPr>
              <w:spacing w:after="20"/>
              <w:ind w:left="20"/>
              <w:jc w:val="both"/>
            </w:pPr>
            <w:r>
              <w:rPr>
                <w:rFonts w:ascii="Times New Roman"/>
                <w:b w:val="false"/>
                <w:i w:val="false"/>
                <w:color w:val="000000"/>
                <w:sz w:val="20"/>
              </w:rPr>
              <w:t>до рода (вида)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культуральным, морфологическим, тинкториальным признакам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культуральным, морфологическим признакам</w:t>
            </w:r>
          </w:p>
        </w:tc>
      </w:tr>
    </w:tbl>
    <w:bookmarkStart w:name="z353" w:id="328"/>
    <w:p>
      <w:pPr>
        <w:spacing w:after="0"/>
        <w:ind w:left="0"/>
        <w:jc w:val="both"/>
      </w:pPr>
      <w:r>
        <w:rPr>
          <w:rFonts w:ascii="Times New Roman"/>
          <w:b w:val="false"/>
          <w:i w:val="false"/>
          <w:color w:val="000000"/>
          <w:sz w:val="28"/>
        </w:rPr>
        <w:t xml:space="preserve">
      116. Репрезентативные локальные изоляты (далее – локальные изоляты), выделяемые из производственной среды, могут использоваться при контроле питательных сред, применяемых для мониторинга производственной среды, валидационных испытаниях, контроле антимикробной эффективности дезинфицирующих средств и др. </w:t>
      </w:r>
    </w:p>
    <w:bookmarkEnd w:id="328"/>
    <w:bookmarkStart w:name="z354" w:id="329"/>
    <w:p>
      <w:pPr>
        <w:spacing w:after="0"/>
        <w:ind w:left="0"/>
        <w:jc w:val="both"/>
      </w:pPr>
      <w:r>
        <w:rPr>
          <w:rFonts w:ascii="Times New Roman"/>
          <w:b w:val="false"/>
          <w:i w:val="false"/>
          <w:color w:val="000000"/>
          <w:sz w:val="28"/>
        </w:rPr>
        <w:t>
      117. Рекомендуется дополнить рабочую коллекцию патогенов, депонированных в коллекциях и депозитариях микроорганизмов, указанных в Фармакопее Союза, локальными изолятами.</w:t>
      </w:r>
    </w:p>
    <w:bookmarkEnd w:id="329"/>
    <w:bookmarkStart w:name="z355" w:id="330"/>
    <w:p>
      <w:pPr>
        <w:spacing w:after="0"/>
        <w:ind w:left="0"/>
        <w:jc w:val="both"/>
      </w:pPr>
      <w:r>
        <w:rPr>
          <w:rFonts w:ascii="Times New Roman"/>
          <w:b w:val="false"/>
          <w:i w:val="false"/>
          <w:color w:val="000000"/>
          <w:sz w:val="28"/>
        </w:rPr>
        <w:t xml:space="preserve">
      118. Для каждого локального изолята следует оформить паспорт (спецификацию), который должен содержать информацию о дате выделения и видовых свойствах, а также может содержать визуализацию изолята (например, фотографию выделенного микроорганизма). </w:t>
      </w:r>
    </w:p>
    <w:bookmarkEnd w:id="330"/>
    <w:bookmarkStart w:name="z356" w:id="331"/>
    <w:p>
      <w:pPr>
        <w:spacing w:after="0"/>
        <w:ind w:left="0"/>
        <w:jc w:val="both"/>
      </w:pPr>
      <w:r>
        <w:rPr>
          <w:rFonts w:ascii="Times New Roman"/>
          <w:b w:val="false"/>
          <w:i w:val="false"/>
          <w:color w:val="000000"/>
          <w:sz w:val="28"/>
        </w:rPr>
        <w:t>
      119. Локальные изоляты должны принадлежать тем видам возбудителей, возможность осуществления деятельности с которыми подтверждена соответствующей лицензией (если применимо).</w:t>
      </w:r>
    </w:p>
    <w:bookmarkEnd w:id="331"/>
    <w:bookmarkStart w:name="z357" w:id="332"/>
    <w:p>
      <w:pPr>
        <w:spacing w:after="0"/>
        <w:ind w:left="0"/>
        <w:jc w:val="both"/>
      </w:pPr>
      <w:r>
        <w:rPr>
          <w:rFonts w:ascii="Times New Roman"/>
          <w:b w:val="false"/>
          <w:i w:val="false"/>
          <w:color w:val="000000"/>
          <w:sz w:val="28"/>
        </w:rPr>
        <w:t>
      120. Ведение и использование локальных изолятов осуществляется в соответствии с установленными процедурами ведения и использования рабочей коллекции патогенов.</w:t>
      </w:r>
    </w:p>
    <w:bookmarkEnd w:id="332"/>
    <w:bookmarkStart w:name="z358" w:id="333"/>
    <w:p>
      <w:pPr>
        <w:spacing w:after="0"/>
        <w:ind w:left="0"/>
        <w:jc w:val="both"/>
      </w:pPr>
      <w:r>
        <w:rPr>
          <w:rFonts w:ascii="Times New Roman"/>
          <w:b w:val="false"/>
          <w:i w:val="false"/>
          <w:color w:val="000000"/>
          <w:sz w:val="28"/>
        </w:rPr>
        <w:t xml:space="preserve">
      121. В целях определения сезонных трендов, появления новых видов микроорганизмов следует установить периодичность обзора выявляемых микроорганизмов. </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организации и проведению</w:t>
            </w:r>
            <w:r>
              <w:br/>
            </w:r>
            <w:r>
              <w:rPr>
                <w:rFonts w:ascii="Times New Roman"/>
                <w:b w:val="false"/>
                <w:i w:val="false"/>
                <w:color w:val="000000"/>
                <w:sz w:val="20"/>
              </w:rPr>
              <w:t>микробиологического мониторинга</w:t>
            </w:r>
            <w:r>
              <w:br/>
            </w:r>
            <w:r>
              <w:rPr>
                <w:rFonts w:ascii="Times New Roman"/>
                <w:b w:val="false"/>
                <w:i w:val="false"/>
                <w:color w:val="000000"/>
                <w:sz w:val="20"/>
              </w:rPr>
              <w:t>производственной среды для производителей</w:t>
            </w:r>
            <w:r>
              <w:br/>
            </w:r>
            <w:r>
              <w:rPr>
                <w:rFonts w:ascii="Times New Roman"/>
                <w:b w:val="false"/>
                <w:i w:val="false"/>
                <w:color w:val="000000"/>
                <w:sz w:val="20"/>
              </w:rPr>
              <w:t>стерильных и нестерильных лекарственных средств</w:t>
            </w:r>
          </w:p>
        </w:tc>
      </w:tr>
    </w:tbl>
    <w:bookmarkStart w:name="z360" w:id="334"/>
    <w:p>
      <w:pPr>
        <w:spacing w:after="0"/>
        <w:ind w:left="0"/>
        <w:jc w:val="left"/>
      </w:pPr>
      <w:r>
        <w:rPr>
          <w:rFonts w:ascii="Times New Roman"/>
          <w:b/>
          <w:i w:val="false"/>
          <w:color w:val="000000"/>
        </w:rPr>
        <w:t xml:space="preserve"> БЛОК-СХЕМА</w:t>
      </w:r>
    </w:p>
    <w:bookmarkEnd w:id="334"/>
    <w:bookmarkStart w:name="z361" w:id="335"/>
    <w:p>
      <w:pPr>
        <w:spacing w:after="0"/>
        <w:ind w:left="0"/>
        <w:jc w:val="left"/>
      </w:pPr>
      <w:r>
        <w:rPr>
          <w:rFonts w:ascii="Times New Roman"/>
          <w:b/>
          <w:i w:val="false"/>
          <w:color w:val="000000"/>
        </w:rPr>
        <w:t xml:space="preserve"> внедрения стратегии контроля контаминации на предприятии</w:t>
      </w:r>
    </w:p>
    <w:bookmarkEnd w:id="335"/>
    <w:bookmarkStart w:name="z36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организации и проведению</w:t>
            </w:r>
            <w:r>
              <w:br/>
            </w:r>
            <w:r>
              <w:rPr>
                <w:rFonts w:ascii="Times New Roman"/>
                <w:b w:val="false"/>
                <w:i w:val="false"/>
                <w:color w:val="000000"/>
                <w:sz w:val="20"/>
              </w:rPr>
              <w:t>микробиологического мониторинга</w:t>
            </w:r>
            <w:r>
              <w:br/>
            </w:r>
            <w:r>
              <w:rPr>
                <w:rFonts w:ascii="Times New Roman"/>
                <w:b w:val="false"/>
                <w:i w:val="false"/>
                <w:color w:val="000000"/>
                <w:sz w:val="20"/>
              </w:rPr>
              <w:t>производственной среды для производителей</w:t>
            </w:r>
            <w:r>
              <w:br/>
            </w:r>
            <w:r>
              <w:rPr>
                <w:rFonts w:ascii="Times New Roman"/>
                <w:b w:val="false"/>
                <w:i w:val="false"/>
                <w:color w:val="000000"/>
                <w:sz w:val="20"/>
              </w:rPr>
              <w:t>стерильных и нестерильных лекарственных средств</w:t>
            </w:r>
          </w:p>
        </w:tc>
      </w:tr>
    </w:tbl>
    <w:bookmarkStart w:name="z364" w:id="337"/>
    <w:p>
      <w:pPr>
        <w:spacing w:after="0"/>
        <w:ind w:left="0"/>
        <w:jc w:val="left"/>
      </w:pPr>
      <w:r>
        <w:rPr>
          <w:rFonts w:ascii="Times New Roman"/>
          <w:b/>
          <w:i w:val="false"/>
          <w:color w:val="000000"/>
        </w:rPr>
        <w:t xml:space="preserve"> МЕТОД СЕТКИ</w:t>
      </w:r>
    </w:p>
    <w:bookmarkEnd w:id="337"/>
    <w:bookmarkStart w:name="z365" w:id="338"/>
    <w:p>
      <w:pPr>
        <w:spacing w:after="0"/>
        <w:ind w:left="0"/>
        <w:jc w:val="both"/>
      </w:pPr>
      <w:r>
        <w:rPr>
          <w:rFonts w:ascii="Times New Roman"/>
          <w:b w:val="false"/>
          <w:i w:val="false"/>
          <w:color w:val="000000"/>
          <w:sz w:val="28"/>
        </w:rPr>
        <w:t>
      1. Разбить чистое помещение (зону) на равное количество секций с одинаковыми площадями. Количество секций зависит от площади чистого помещения (зоны) и определяется как минимальное количество точек отбора проб.</w:t>
      </w:r>
    </w:p>
    <w:bookmarkEnd w:id="338"/>
    <w:bookmarkStart w:name="z366" w:id="339"/>
    <w:p>
      <w:pPr>
        <w:spacing w:after="0"/>
        <w:ind w:left="0"/>
        <w:jc w:val="both"/>
      </w:pPr>
      <w:r>
        <w:rPr>
          <w:rFonts w:ascii="Times New Roman"/>
          <w:b w:val="false"/>
          <w:i w:val="false"/>
          <w:color w:val="000000"/>
          <w:sz w:val="28"/>
        </w:rPr>
        <w:t>
      Если в анализе рисков не определены другие критерии, то количество точек отбора проб определяется исходя из следующих условий:</w:t>
      </w:r>
    </w:p>
    <w:bookmarkEnd w:id="339"/>
    <w:bookmarkStart w:name="z367" w:id="340"/>
    <w:p>
      <w:pPr>
        <w:spacing w:after="0"/>
        <w:ind w:left="0"/>
        <w:jc w:val="both"/>
      </w:pPr>
      <w:r>
        <w:rPr>
          <w:rFonts w:ascii="Times New Roman"/>
          <w:b w:val="false"/>
          <w:i w:val="false"/>
          <w:color w:val="000000"/>
          <w:sz w:val="28"/>
        </w:rPr>
        <w:t xml:space="preserve">
      количество точек отбора проб воздуха: </w:t>
      </w:r>
    </w:p>
    <w:bookmarkEnd w:id="340"/>
    <w:bookmarkStart w:name="z368" w:id="341"/>
    <w:p>
      <w:pPr>
        <w:spacing w:after="0"/>
        <w:ind w:left="0"/>
        <w:jc w:val="both"/>
      </w:pPr>
      <w:r>
        <w:rPr>
          <w:rFonts w:ascii="Times New Roman"/>
          <w:b w:val="false"/>
          <w:i w:val="false"/>
          <w:color w:val="000000"/>
          <w:sz w:val="28"/>
        </w:rPr>
        <w:t>
      N/3, но не менее одной (согласно таблице 1);</w:t>
      </w:r>
    </w:p>
    <w:bookmarkEnd w:id="341"/>
    <w:bookmarkStart w:name="z369" w:id="342"/>
    <w:p>
      <w:pPr>
        <w:spacing w:after="0"/>
        <w:ind w:left="0"/>
        <w:jc w:val="both"/>
      </w:pPr>
      <w:r>
        <w:rPr>
          <w:rFonts w:ascii="Times New Roman"/>
          <w:b w:val="false"/>
          <w:i w:val="false"/>
          <w:color w:val="000000"/>
          <w:sz w:val="28"/>
        </w:rPr>
        <w:t xml:space="preserve">
      количество точек отбора проб с поверхности: </w:t>
      </w:r>
    </w:p>
    <w:bookmarkEnd w:id="342"/>
    <w:bookmarkStart w:name="z370" w:id="343"/>
    <w:p>
      <w:pPr>
        <w:spacing w:after="0"/>
        <w:ind w:left="0"/>
        <w:jc w:val="both"/>
      </w:pPr>
      <w:r>
        <w:rPr>
          <w:rFonts w:ascii="Times New Roman"/>
          <w:b w:val="false"/>
          <w:i w:val="false"/>
          <w:color w:val="000000"/>
          <w:sz w:val="28"/>
        </w:rPr>
        <w:t>
      3 + N/3 в каждой рабочей зоне,</w:t>
      </w:r>
    </w:p>
    <w:bookmarkEnd w:id="343"/>
    <w:bookmarkStart w:name="z371" w:id="344"/>
    <w:p>
      <w:pPr>
        <w:spacing w:after="0"/>
        <w:ind w:left="0"/>
        <w:jc w:val="both"/>
      </w:pPr>
      <w:r>
        <w:rPr>
          <w:rFonts w:ascii="Times New Roman"/>
          <w:b w:val="false"/>
          <w:i w:val="false"/>
          <w:color w:val="000000"/>
          <w:sz w:val="28"/>
        </w:rPr>
        <w:t>
      Где N – минимальное количество точек отбора проб в соответствии с ГОСТ Р ИСО 14644-1 "Чистые помещения и связанные с ними контролируемые среды. Часть 1. Классификация чистоты воздуха по концентрации частиц".</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3" w:id="345"/>
    <w:p>
      <w:pPr>
        <w:spacing w:after="0"/>
        <w:ind w:left="0"/>
        <w:jc w:val="left"/>
      </w:pPr>
      <w:r>
        <w:rPr>
          <w:rFonts w:ascii="Times New Roman"/>
          <w:b/>
          <w:i w:val="false"/>
          <w:color w:val="000000"/>
        </w:rPr>
        <w:t xml:space="preserve"> Рекомендуемое минимальное количество точек отбора проб воздуха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чистого помещения (зоны), м</w:t>
            </w:r>
            <w:r>
              <w:rPr>
                <w:rFonts w:ascii="Times New Roman"/>
                <w:b/>
                <w:i w:val="false"/>
                <w:color w:val="000000"/>
                <w:vertAlign w:val="superscript"/>
              </w:rPr>
              <w:t>2</w:t>
            </w:r>
            <w:r>
              <w:rPr>
                <w:rFonts w:ascii="Times New Roman"/>
                <w:b/>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Минимальное количество точек отбора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 ≤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28 ≤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52 ≤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68 ≤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104 ≤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148 ≤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232 ≤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436 ≤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рассчитывается по формуле*</w:t>
            </w:r>
          </w:p>
        </w:tc>
      </w:tr>
    </w:tbl>
    <w:bookmarkStart w:name="z374" w:id="3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минимальное количество точек отбора проб рассчитывается по формуле:</w:t>
      </w:r>
    </w:p>
    <w:bookmarkEnd w:id="346"/>
    <w:bookmarkStart w:name="z375"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08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82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48"/>
    <w:p>
      <w:pPr>
        <w:spacing w:after="0"/>
        <w:ind w:left="0"/>
        <w:jc w:val="both"/>
      </w:pPr>
      <w:r>
        <w:rPr>
          <w:rFonts w:ascii="Times New Roman"/>
          <w:b w:val="false"/>
          <w:i w:val="false"/>
          <w:color w:val="000000"/>
          <w:sz w:val="28"/>
        </w:rPr>
        <w:t>
      где:</w:t>
      </w:r>
    </w:p>
    <w:bookmarkEnd w:id="348"/>
    <w:bookmarkStart w:name="z377" w:id="349"/>
    <w:p>
      <w:pPr>
        <w:spacing w:after="0"/>
        <w:ind w:left="0"/>
        <w:jc w:val="both"/>
      </w:pPr>
      <w:r>
        <w:rPr>
          <w:rFonts w:ascii="Times New Roman"/>
          <w:b w:val="false"/>
          <w:i w:val="false"/>
          <w:color w:val="000000"/>
          <w:sz w:val="28"/>
        </w:rPr>
        <w:t>
      NL – минимальное количество точек отбора проб, подлежащих оценке, округленное до следующего целого числа;</w:t>
      </w:r>
    </w:p>
    <w:bookmarkEnd w:id="349"/>
    <w:bookmarkStart w:name="z378" w:id="350"/>
    <w:p>
      <w:pPr>
        <w:spacing w:after="0"/>
        <w:ind w:left="0"/>
        <w:jc w:val="both"/>
      </w:pPr>
      <w:r>
        <w:rPr>
          <w:rFonts w:ascii="Times New Roman"/>
          <w:b w:val="false"/>
          <w:i w:val="false"/>
          <w:color w:val="000000"/>
          <w:sz w:val="28"/>
        </w:rPr>
        <w:t>
      А – площадь чистого помещения (зоны), м</w:t>
      </w:r>
      <w:r>
        <w:rPr>
          <w:rFonts w:ascii="Times New Roman"/>
          <w:b w:val="false"/>
          <w:i w:val="false"/>
          <w:color w:val="000000"/>
          <w:vertAlign w:val="superscript"/>
        </w:rPr>
        <w:t>2</w:t>
      </w:r>
      <w:r>
        <w:rPr>
          <w:rFonts w:ascii="Times New Roman"/>
          <w:b w:val="false"/>
          <w:i w:val="false"/>
          <w:color w:val="000000"/>
          <w:sz w:val="28"/>
        </w:rPr>
        <w:t>.</w:t>
      </w:r>
    </w:p>
    <w:bookmarkEnd w:id="350"/>
    <w:bookmarkStart w:name="z379" w:id="351"/>
    <w:p>
      <w:pPr>
        <w:spacing w:after="0"/>
        <w:ind w:left="0"/>
        <w:jc w:val="both"/>
      </w:pPr>
      <w:r>
        <w:rPr>
          <w:rFonts w:ascii="Times New Roman"/>
          <w:b w:val="false"/>
          <w:i w:val="false"/>
          <w:color w:val="000000"/>
          <w:sz w:val="28"/>
        </w:rPr>
        <w:t>
      2. Подготовить информацию (в форме таблицы или иной форме) о проводимых внутри каждой секции операциях. На данном этапе может возникнуть необходимость группировки секций в функциональные блоки, так как определение точек контроля в каждой секции для некоторых помещений (зон) может быть непрактичным и не учитывать зависимости этапов производственного процесса друг от друга. Допускается, чтобы отдельные секции были сгруппированы в функциональные блоки, которые охватывают различные схожие производственные процессы (например, блок наполнения линии наполнения, блок управления технологическим процессом).</w:t>
      </w:r>
    </w:p>
    <w:bookmarkEnd w:id="351"/>
    <w:bookmarkStart w:name="z380" w:id="352"/>
    <w:p>
      <w:pPr>
        <w:spacing w:after="0"/>
        <w:ind w:left="0"/>
        <w:jc w:val="both"/>
      </w:pPr>
      <w:r>
        <w:rPr>
          <w:rFonts w:ascii="Times New Roman"/>
          <w:b w:val="false"/>
          <w:i w:val="false"/>
          <w:color w:val="000000"/>
          <w:sz w:val="28"/>
        </w:rPr>
        <w:t>
      3. Определить расположение точек контроля на основании анализа рисков.</w:t>
      </w:r>
    </w:p>
    <w:bookmarkEnd w:id="352"/>
    <w:bookmarkStart w:name="z381" w:id="353"/>
    <w:p>
      <w:pPr>
        <w:spacing w:after="0"/>
        <w:ind w:left="0"/>
        <w:jc w:val="both"/>
      </w:pPr>
      <w:r>
        <w:rPr>
          <w:rFonts w:ascii="Times New Roman"/>
          <w:b w:val="false"/>
          <w:i w:val="false"/>
          <w:color w:val="000000"/>
          <w:sz w:val="28"/>
        </w:rPr>
        <w:t>
      При проведении анализа рисков следует учитывать положения раздела IV Руководства по организации и проведению микробиологического мониторинга производственной среды для производителей стерильных и нестерильных лекарственных средств.</w:t>
      </w:r>
    </w:p>
    <w:bookmarkEnd w:id="353"/>
    <w:bookmarkStart w:name="z382" w:id="354"/>
    <w:p>
      <w:pPr>
        <w:spacing w:after="0"/>
        <w:ind w:left="0"/>
        <w:jc w:val="both"/>
      </w:pPr>
      <w:r>
        <w:rPr>
          <w:rFonts w:ascii="Times New Roman"/>
          <w:b w:val="false"/>
          <w:i w:val="false"/>
          <w:color w:val="000000"/>
          <w:sz w:val="28"/>
        </w:rPr>
        <w:t>
      В ходе анализа рисков может возникнуть потребность определения в периметре выделенных секций дополнительных точек контроля в местах, которые признаны критическими. Дополнительные секции и точки контроля могут быть получены путем разделения секции на одинаковые площади.</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Руководству по организации и проведению</w:t>
            </w:r>
            <w:r>
              <w:br/>
            </w:r>
            <w:r>
              <w:rPr>
                <w:rFonts w:ascii="Times New Roman"/>
                <w:b w:val="false"/>
                <w:i w:val="false"/>
                <w:color w:val="000000"/>
                <w:sz w:val="20"/>
              </w:rPr>
              <w:t>микробиологического</w:t>
            </w:r>
            <w:r>
              <w:br/>
            </w:r>
            <w:r>
              <w:rPr>
                <w:rFonts w:ascii="Times New Roman"/>
                <w:b w:val="false"/>
                <w:i w:val="false"/>
                <w:color w:val="000000"/>
                <w:sz w:val="20"/>
              </w:rPr>
              <w:t>мониторинга производственной</w:t>
            </w:r>
            <w:r>
              <w:br/>
            </w:r>
            <w:r>
              <w:rPr>
                <w:rFonts w:ascii="Times New Roman"/>
                <w:b w:val="false"/>
                <w:i w:val="false"/>
                <w:color w:val="000000"/>
                <w:sz w:val="20"/>
              </w:rPr>
              <w:t>среды для производителей</w:t>
            </w:r>
            <w:r>
              <w:br/>
            </w:r>
            <w:r>
              <w:rPr>
                <w:rFonts w:ascii="Times New Roman"/>
                <w:b w:val="false"/>
                <w:i w:val="false"/>
                <w:color w:val="000000"/>
                <w:sz w:val="20"/>
              </w:rPr>
              <w:t>стерильных и нестерильных</w:t>
            </w:r>
            <w:r>
              <w:br/>
            </w:r>
            <w:r>
              <w:rPr>
                <w:rFonts w:ascii="Times New Roman"/>
                <w:b w:val="false"/>
                <w:i w:val="false"/>
                <w:color w:val="000000"/>
                <w:sz w:val="20"/>
              </w:rPr>
              <w:t>лекарственных средств</w:t>
            </w:r>
          </w:p>
        </w:tc>
      </w:tr>
    </w:tbl>
    <w:bookmarkStart w:name="z384" w:id="355"/>
    <w:p>
      <w:pPr>
        <w:spacing w:after="0"/>
        <w:ind w:left="0"/>
        <w:jc w:val="left"/>
      </w:pPr>
      <w:r>
        <w:rPr>
          <w:rFonts w:ascii="Times New Roman"/>
          <w:b/>
          <w:i w:val="false"/>
          <w:color w:val="000000"/>
        </w:rPr>
        <w:t xml:space="preserve"> ИНСТРУМЕНТЫ</w:t>
      </w:r>
    </w:p>
    <w:bookmarkEnd w:id="355"/>
    <w:bookmarkStart w:name="z385" w:id="356"/>
    <w:p>
      <w:pPr>
        <w:spacing w:after="0"/>
        <w:ind w:left="0"/>
        <w:jc w:val="left"/>
      </w:pPr>
      <w:r>
        <w:rPr>
          <w:rFonts w:ascii="Times New Roman"/>
          <w:b/>
          <w:i w:val="false"/>
          <w:color w:val="000000"/>
        </w:rPr>
        <w:t xml:space="preserve"> для обработки результатов мониторинга пределов микробной контаминации</w:t>
      </w:r>
    </w:p>
    <w:bookmarkEnd w:id="356"/>
    <w:bookmarkStart w:name="z386" w:id="357"/>
    <w:p>
      <w:pPr>
        <w:spacing w:after="0"/>
        <w:ind w:left="0"/>
        <w:jc w:val="left"/>
      </w:pPr>
      <w:r>
        <w:rPr>
          <w:rFonts w:ascii="Times New Roman"/>
          <w:b/>
          <w:i w:val="false"/>
          <w:color w:val="000000"/>
        </w:rPr>
        <w:t xml:space="preserve"> 1. Подход предельного значения (процентиль)</w:t>
      </w:r>
    </w:p>
    <w:bookmarkEnd w:id="357"/>
    <w:bookmarkStart w:name="z387" w:id="358"/>
    <w:p>
      <w:pPr>
        <w:spacing w:after="0"/>
        <w:ind w:left="0"/>
        <w:jc w:val="both"/>
      </w:pPr>
      <w:r>
        <w:rPr>
          <w:rFonts w:ascii="Times New Roman"/>
          <w:b w:val="false"/>
          <w:i w:val="false"/>
          <w:color w:val="000000"/>
          <w:sz w:val="28"/>
        </w:rPr>
        <w:t>
      1. Процентиль – это статистический показатель, который определяет значение, ниже которого располагается определенный процент наблюдений в выборке. Процентиль показывает границу, отделяющую заданную долю результатов, не превышающих установленный максимальный предел действия. Например, 95-й процентиль означает, что 95 % всех полученных результатов находятся ниже или на уровне этого значения, а только 5 % превышают его. Такой подход широко используется для оценки стабильности процессов, установления предельных значений и анализа трендов в микробиологическом мониторинге производственной среды.</w:t>
      </w:r>
    </w:p>
    <w:bookmarkEnd w:id="358"/>
    <w:bookmarkStart w:name="z388" w:id="359"/>
    <w:p>
      <w:pPr>
        <w:spacing w:after="0"/>
        <w:ind w:left="0"/>
        <w:jc w:val="both"/>
      </w:pPr>
      <w:r>
        <w:rPr>
          <w:rFonts w:ascii="Times New Roman"/>
          <w:b w:val="false"/>
          <w:i w:val="false"/>
          <w:color w:val="000000"/>
          <w:sz w:val="28"/>
        </w:rPr>
        <w:t>
      2. Процентиль напрямую влияет на порог приемлемости, ниже которого результат мониторинга считается частью ожидаемой изменчивости. Например, если в рамках мониторинга выполняется 100 испытаний в год, 99-й или 95-й процентили будут означать, что ожидается превышение контрольного уровня у 1 или 5 значений, даже если контролируемая среда совершенно стабильна.</w:t>
      </w:r>
    </w:p>
    <w:bookmarkEnd w:id="359"/>
    <w:bookmarkStart w:name="z389" w:id="360"/>
    <w:p>
      <w:pPr>
        <w:spacing w:after="0"/>
        <w:ind w:left="0"/>
        <w:jc w:val="both"/>
      </w:pPr>
      <w:r>
        <w:rPr>
          <w:rFonts w:ascii="Times New Roman"/>
          <w:b w:val="false"/>
          <w:i w:val="false"/>
          <w:color w:val="000000"/>
          <w:sz w:val="28"/>
        </w:rPr>
        <w:t xml:space="preserve">
      3. Уровни тревоги и действия рассчитываются на основе исторических данных за установленный программой мониторинга период. </w:t>
      </w:r>
    </w:p>
    <w:bookmarkEnd w:id="360"/>
    <w:bookmarkStart w:name="z390" w:id="361"/>
    <w:p>
      <w:pPr>
        <w:spacing w:after="0"/>
        <w:ind w:left="0"/>
        <w:jc w:val="both"/>
      </w:pPr>
      <w:r>
        <w:rPr>
          <w:rFonts w:ascii="Times New Roman"/>
          <w:b w:val="false"/>
          <w:i w:val="false"/>
          <w:color w:val="000000"/>
          <w:sz w:val="28"/>
        </w:rPr>
        <w:t>
      При расчете процентилей исключаются данные, превышающие максимальные допустимые пределы для исключения слишком высоких значений уровней тревоги и действия.</w:t>
      </w:r>
    </w:p>
    <w:bookmarkEnd w:id="361"/>
    <w:bookmarkStart w:name="z391" w:id="362"/>
    <w:p>
      <w:pPr>
        <w:spacing w:after="0"/>
        <w:ind w:left="0"/>
        <w:jc w:val="both"/>
      </w:pPr>
      <w:r>
        <w:rPr>
          <w:rFonts w:ascii="Times New Roman"/>
          <w:b w:val="false"/>
          <w:i w:val="false"/>
          <w:color w:val="000000"/>
          <w:sz w:val="28"/>
        </w:rPr>
        <w:t>
      Процентиль рассчитывается по формуле:</w:t>
      </w:r>
    </w:p>
    <w:bookmarkEnd w:id="362"/>
    <w:bookmarkStart w:name="z39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64"/>
    <w:p>
      <w:pPr>
        <w:spacing w:after="0"/>
        <w:ind w:left="0"/>
        <w:jc w:val="both"/>
      </w:pPr>
      <w:r>
        <w:rPr>
          <w:rFonts w:ascii="Times New Roman"/>
          <w:b w:val="false"/>
          <w:i w:val="false"/>
          <w:color w:val="000000"/>
          <w:sz w:val="28"/>
        </w:rPr>
        <w:t>
      где:</w:t>
      </w:r>
    </w:p>
    <w:bookmarkEnd w:id="364"/>
    <w:bookmarkStart w:name="z394" w:id="365"/>
    <w:p>
      <w:pPr>
        <w:spacing w:after="0"/>
        <w:ind w:left="0"/>
        <w:jc w:val="both"/>
      </w:pPr>
      <w:r>
        <w:rPr>
          <w:rFonts w:ascii="Times New Roman"/>
          <w:b w:val="false"/>
          <w:i w:val="false"/>
          <w:color w:val="000000"/>
          <w:sz w:val="28"/>
        </w:rPr>
        <w:t>
      P – процентиль;</w:t>
      </w:r>
    </w:p>
    <w:bookmarkEnd w:id="365"/>
    <w:bookmarkStart w:name="z395" w:id="366"/>
    <w:p>
      <w:pPr>
        <w:spacing w:after="0"/>
        <w:ind w:left="0"/>
        <w:jc w:val="both"/>
      </w:pPr>
      <w:r>
        <w:rPr>
          <w:rFonts w:ascii="Times New Roman"/>
          <w:b w:val="false"/>
          <w:i w:val="false"/>
          <w:color w:val="000000"/>
          <w:sz w:val="28"/>
        </w:rPr>
        <w:t>
      х – расчетный показатель;</w:t>
      </w:r>
    </w:p>
    <w:bookmarkEnd w:id="366"/>
    <w:bookmarkStart w:name="z396" w:id="367"/>
    <w:p>
      <w:pPr>
        <w:spacing w:after="0"/>
        <w:ind w:left="0"/>
        <w:jc w:val="both"/>
      </w:pPr>
      <w:r>
        <w:rPr>
          <w:rFonts w:ascii="Times New Roman"/>
          <w:b w:val="false"/>
          <w:i w:val="false"/>
          <w:color w:val="000000"/>
          <w:sz w:val="28"/>
        </w:rPr>
        <w:t>
      n – количество значений ниже "x";</w:t>
      </w:r>
    </w:p>
    <w:bookmarkEnd w:id="367"/>
    <w:bookmarkStart w:name="z397" w:id="368"/>
    <w:p>
      <w:pPr>
        <w:spacing w:after="0"/>
        <w:ind w:left="0"/>
        <w:jc w:val="both"/>
      </w:pPr>
      <w:r>
        <w:rPr>
          <w:rFonts w:ascii="Times New Roman"/>
          <w:b w:val="false"/>
          <w:i w:val="false"/>
          <w:color w:val="000000"/>
          <w:sz w:val="28"/>
        </w:rPr>
        <w:t>
      N – общее количество значений.</w:t>
      </w:r>
    </w:p>
    <w:bookmarkEnd w:id="368"/>
    <w:bookmarkStart w:name="z398" w:id="369"/>
    <w:p>
      <w:pPr>
        <w:spacing w:after="0"/>
        <w:ind w:left="0"/>
        <w:jc w:val="both"/>
      </w:pPr>
      <w:r>
        <w:rPr>
          <w:rFonts w:ascii="Times New Roman"/>
          <w:b w:val="false"/>
          <w:i w:val="false"/>
          <w:color w:val="000000"/>
          <w:sz w:val="28"/>
        </w:rPr>
        <w:t>
      По результатам проведенных исследований по микробиологическому мониторингу оптимальными (без дополнительных обоснований) являются следующие значения процентиля:</w:t>
      </w:r>
    </w:p>
    <w:bookmarkEnd w:id="369"/>
    <w:bookmarkStart w:name="z399" w:id="370"/>
    <w:p>
      <w:pPr>
        <w:spacing w:after="0"/>
        <w:ind w:left="0"/>
        <w:jc w:val="both"/>
      </w:pPr>
      <w:r>
        <w:rPr>
          <w:rFonts w:ascii="Times New Roman"/>
          <w:b w:val="false"/>
          <w:i w:val="false"/>
          <w:color w:val="000000"/>
          <w:sz w:val="28"/>
        </w:rPr>
        <w:t>
      для уровней тревоги:</w:t>
      </w:r>
    </w:p>
    <w:bookmarkEnd w:id="370"/>
    <w:bookmarkStart w:name="z400" w:id="371"/>
    <w:p>
      <w:pPr>
        <w:spacing w:after="0"/>
        <w:ind w:left="0"/>
        <w:jc w:val="both"/>
      </w:pPr>
      <w:r>
        <w:rPr>
          <w:rFonts w:ascii="Times New Roman"/>
          <w:b w:val="false"/>
          <w:i w:val="false"/>
          <w:color w:val="000000"/>
          <w:sz w:val="28"/>
        </w:rPr>
        <w:t xml:space="preserve">
      k = 0,975 (97,5 процентиль) или k = 0,95 (95 процентиль); </w:t>
      </w:r>
    </w:p>
    <w:bookmarkEnd w:id="371"/>
    <w:bookmarkStart w:name="z401" w:id="372"/>
    <w:p>
      <w:pPr>
        <w:spacing w:after="0"/>
        <w:ind w:left="0"/>
        <w:jc w:val="both"/>
      </w:pPr>
      <w:r>
        <w:rPr>
          <w:rFonts w:ascii="Times New Roman"/>
          <w:b w:val="false"/>
          <w:i w:val="false"/>
          <w:color w:val="000000"/>
          <w:sz w:val="28"/>
        </w:rPr>
        <w:t>
      для уровней действия:</w:t>
      </w:r>
    </w:p>
    <w:bookmarkEnd w:id="372"/>
    <w:bookmarkStart w:name="z402" w:id="373"/>
    <w:p>
      <w:pPr>
        <w:spacing w:after="0"/>
        <w:ind w:left="0"/>
        <w:jc w:val="both"/>
      </w:pPr>
      <w:r>
        <w:rPr>
          <w:rFonts w:ascii="Times New Roman"/>
          <w:b w:val="false"/>
          <w:i w:val="false"/>
          <w:color w:val="000000"/>
          <w:sz w:val="28"/>
        </w:rPr>
        <w:t>
      k = 0,9985 (99,85 процентиль) или k = 0,99 (99 процентиль).</w:t>
      </w:r>
    </w:p>
    <w:bookmarkEnd w:id="373"/>
    <w:bookmarkStart w:name="z403" w:id="374"/>
    <w:p>
      <w:pPr>
        <w:spacing w:after="0"/>
        <w:ind w:left="0"/>
        <w:jc w:val="both"/>
      </w:pPr>
      <w:r>
        <w:rPr>
          <w:rFonts w:ascii="Times New Roman"/>
          <w:b w:val="false"/>
          <w:i w:val="false"/>
          <w:color w:val="000000"/>
          <w:sz w:val="28"/>
        </w:rPr>
        <w:t xml:space="preserve">
      Выбор иного значения процентиля, используемого в расчетах, следует обосновать в программе мониторинга. </w:t>
      </w:r>
    </w:p>
    <w:bookmarkEnd w:id="374"/>
    <w:bookmarkStart w:name="z404" w:id="375"/>
    <w:p>
      <w:pPr>
        <w:spacing w:after="0"/>
        <w:ind w:left="0"/>
        <w:jc w:val="both"/>
      </w:pPr>
      <w:r>
        <w:rPr>
          <w:rFonts w:ascii="Times New Roman"/>
          <w:b w:val="false"/>
          <w:i w:val="false"/>
          <w:color w:val="000000"/>
          <w:sz w:val="28"/>
        </w:rPr>
        <w:t xml:space="preserve">
      Если уровни, рассчитанные через процентиль, опускаются ниже установленных программой мониторинга значений (например, указанных в таблицах 7 и 8 Руководства по организации и проведению микробиологического мониторинга производственной среды для производителей стерильных и нестерильных лекарственных средств), то для оценки трендов следующего периода используются табличные уровни тревоги (действия). Сравнение уровней, рассчитанных через процентили с табличными значениями, предотвращает установку слишком низких уровней, которые не представляют ценности для оценки трендов. </w:t>
      </w:r>
    </w:p>
    <w:bookmarkEnd w:id="375"/>
    <w:bookmarkStart w:name="z405" w:id="376"/>
    <w:p>
      <w:pPr>
        <w:spacing w:after="0"/>
        <w:ind w:left="0"/>
        <w:jc w:val="left"/>
      </w:pPr>
      <w:r>
        <w:rPr>
          <w:rFonts w:ascii="Times New Roman"/>
          <w:b/>
          <w:i w:val="false"/>
          <w:color w:val="000000"/>
        </w:rPr>
        <w:t xml:space="preserve"> 2. Подход, основанный на модели нормального распределения (Правило 3s)</w:t>
      </w:r>
    </w:p>
    <w:bookmarkEnd w:id="376"/>
    <w:bookmarkStart w:name="z406" w:id="377"/>
    <w:p>
      <w:pPr>
        <w:spacing w:after="0"/>
        <w:ind w:left="0"/>
        <w:jc w:val="both"/>
      </w:pPr>
      <w:r>
        <w:rPr>
          <w:rFonts w:ascii="Times New Roman"/>
          <w:b w:val="false"/>
          <w:i w:val="false"/>
          <w:color w:val="000000"/>
          <w:sz w:val="28"/>
        </w:rPr>
        <w:t>
      4. Правило 3</w:t>
      </w:r>
      <w:r>
        <w:rPr>
          <w:rFonts w:ascii="Times New Roman"/>
          <w:b w:val="false"/>
          <w:i w:val="false"/>
          <w:color w:val="000000"/>
          <w:sz w:val="28"/>
        </w:rPr>
        <w:t>s</w:t>
      </w:r>
      <w:r>
        <w:rPr>
          <w:rFonts w:ascii="Times New Roman"/>
          <w:b w:val="false"/>
          <w:i w:val="false"/>
          <w:color w:val="000000"/>
          <w:sz w:val="28"/>
        </w:rPr>
        <w:t xml:space="preserve"> (правило трех стандартных отклонений – это, статистический метод, который используется для определения величины отклонения наблюдаемой переменной от среднего значения.</w:t>
      </w:r>
    </w:p>
    <w:bookmarkEnd w:id="377"/>
    <w:bookmarkStart w:name="z407" w:id="378"/>
    <w:p>
      <w:pPr>
        <w:spacing w:after="0"/>
        <w:ind w:left="0"/>
        <w:jc w:val="both"/>
      </w:pPr>
      <w:r>
        <w:rPr>
          <w:rFonts w:ascii="Times New Roman"/>
          <w:b w:val="false"/>
          <w:i w:val="false"/>
          <w:color w:val="000000"/>
          <w:sz w:val="28"/>
        </w:rPr>
        <w:t>
      5. Данный подход рекомендуется использовать только в случае наличия большого количества данных (более 100 значений данных (результатов мониторинга)) и, если модель распределения соответствует нормальному распределению. Уровни тревоги и действия устанавливаются исходя из расчета среднего значения.</w:t>
      </w:r>
    </w:p>
    <w:bookmarkEnd w:id="378"/>
    <w:bookmarkStart w:name="z408" w:id="379"/>
    <w:p>
      <w:pPr>
        <w:spacing w:after="0"/>
        <w:ind w:left="0"/>
        <w:jc w:val="both"/>
      </w:pPr>
      <w:r>
        <w:rPr>
          <w:rFonts w:ascii="Times New Roman"/>
          <w:b w:val="false"/>
          <w:i w:val="false"/>
          <w:color w:val="000000"/>
          <w:sz w:val="28"/>
        </w:rPr>
        <w:t>
      6. Правило 3</w:t>
      </w:r>
      <w:r>
        <w:rPr>
          <w:rFonts w:ascii="Times New Roman"/>
          <w:b w:val="false"/>
          <w:i w:val="false"/>
          <w:color w:val="000000"/>
          <w:sz w:val="28"/>
        </w:rPr>
        <w:t>s</w:t>
      </w:r>
      <w:r>
        <w:rPr>
          <w:rFonts w:ascii="Times New Roman"/>
          <w:b w:val="false"/>
          <w:i w:val="false"/>
          <w:color w:val="000000"/>
          <w:sz w:val="28"/>
        </w:rPr>
        <w:t xml:space="preserve"> может быть применено к любым данным, которые имеют нормальное распределение.</w:t>
      </w:r>
    </w:p>
    <w:bookmarkEnd w:id="379"/>
    <w:bookmarkStart w:name="z409" w:id="380"/>
    <w:p>
      <w:pPr>
        <w:spacing w:after="0"/>
        <w:ind w:left="0"/>
        <w:jc w:val="both"/>
      </w:pPr>
      <w:r>
        <w:rPr>
          <w:rFonts w:ascii="Times New Roman"/>
          <w:b w:val="false"/>
          <w:i w:val="false"/>
          <w:color w:val="000000"/>
          <w:sz w:val="28"/>
        </w:rPr>
        <w:t>
      7. Правило 3</w:t>
      </w:r>
      <w:r>
        <w:rPr>
          <w:rFonts w:ascii="Times New Roman"/>
          <w:b w:val="false"/>
          <w:i w:val="false"/>
          <w:color w:val="000000"/>
          <w:sz w:val="28"/>
        </w:rPr>
        <w:t>s</w:t>
      </w:r>
      <w:r>
        <w:rPr>
          <w:rFonts w:ascii="Times New Roman"/>
          <w:b w:val="false"/>
          <w:i w:val="false"/>
          <w:color w:val="000000"/>
          <w:sz w:val="28"/>
        </w:rPr>
        <w:t xml:space="preserve"> позволяет идентифицировать значения, которые находятся далеко от среднего значения и могут быть выбросами. Это помогает выявить аномалии в данных и потенциальные проблемы.</w:t>
      </w:r>
    </w:p>
    <w:bookmarkEnd w:id="380"/>
    <w:bookmarkStart w:name="z410" w:id="381"/>
    <w:p>
      <w:pPr>
        <w:spacing w:after="0"/>
        <w:ind w:left="0"/>
        <w:jc w:val="both"/>
      </w:pPr>
      <w:r>
        <w:rPr>
          <w:rFonts w:ascii="Times New Roman"/>
          <w:b w:val="false"/>
          <w:i w:val="false"/>
          <w:color w:val="000000"/>
          <w:sz w:val="28"/>
        </w:rPr>
        <w:t>
      8. Правило 3</w:t>
      </w:r>
      <w:r>
        <w:rPr>
          <w:rFonts w:ascii="Times New Roman"/>
          <w:b w:val="false"/>
          <w:i w:val="false"/>
          <w:color w:val="000000"/>
          <w:sz w:val="28"/>
        </w:rPr>
        <w:t>s</w:t>
      </w:r>
      <w:r>
        <w:rPr>
          <w:rFonts w:ascii="Times New Roman"/>
          <w:b w:val="false"/>
          <w:i w:val="false"/>
          <w:color w:val="000000"/>
          <w:sz w:val="28"/>
        </w:rPr>
        <w:t xml:space="preserve"> имеет ограничения:</w:t>
      </w:r>
    </w:p>
    <w:bookmarkEnd w:id="381"/>
    <w:bookmarkStart w:name="z411" w:id="382"/>
    <w:p>
      <w:pPr>
        <w:spacing w:after="0"/>
        <w:ind w:left="0"/>
        <w:jc w:val="both"/>
      </w:pPr>
      <w:r>
        <w:rPr>
          <w:rFonts w:ascii="Times New Roman"/>
          <w:b w:val="false"/>
          <w:i w:val="false"/>
          <w:color w:val="000000"/>
          <w:sz w:val="28"/>
        </w:rPr>
        <w:t>
      а) предположение о нормальном распределении. Правило 3</w:t>
      </w:r>
      <w:r>
        <w:rPr>
          <w:rFonts w:ascii="Times New Roman"/>
          <w:b w:val="false"/>
          <w:i w:val="false"/>
          <w:color w:val="000000"/>
          <w:sz w:val="28"/>
        </w:rPr>
        <w:t>s</w:t>
      </w:r>
      <w:r>
        <w:rPr>
          <w:rFonts w:ascii="Times New Roman"/>
          <w:b w:val="false"/>
          <w:i w:val="false"/>
          <w:color w:val="000000"/>
          <w:sz w:val="28"/>
        </w:rPr>
        <w:t xml:space="preserve"> основано на предположении, что данные имеют нормальное распределение. Если данные не соответствуют этому предположению, то правило может давать неточные результаты;</w:t>
      </w:r>
    </w:p>
    <w:bookmarkEnd w:id="382"/>
    <w:bookmarkStart w:name="z412" w:id="383"/>
    <w:p>
      <w:pPr>
        <w:spacing w:after="0"/>
        <w:ind w:left="0"/>
        <w:jc w:val="both"/>
      </w:pPr>
      <w:r>
        <w:rPr>
          <w:rFonts w:ascii="Times New Roman"/>
          <w:b w:val="false"/>
          <w:i w:val="false"/>
          <w:color w:val="000000"/>
          <w:sz w:val="28"/>
        </w:rPr>
        <w:t>
      б) ограниченность интерпретации. Правило 3</w:t>
      </w:r>
      <w:r>
        <w:rPr>
          <w:rFonts w:ascii="Times New Roman"/>
          <w:b w:val="false"/>
          <w:i w:val="false"/>
          <w:color w:val="000000"/>
          <w:sz w:val="28"/>
        </w:rPr>
        <w:t>s</w:t>
      </w:r>
      <w:r>
        <w:rPr>
          <w:rFonts w:ascii="Times New Roman"/>
          <w:b w:val="false"/>
          <w:i w:val="false"/>
          <w:color w:val="000000"/>
          <w:sz w:val="28"/>
        </w:rPr>
        <w:t xml:space="preserve"> позволяет определить вероятность нахождения значений в определенном диапазоне, но не дает точных численных значений. Это ограничивает его применение в некоторых случаях, где требуется точная оценка вероятности;</w:t>
      </w:r>
    </w:p>
    <w:bookmarkEnd w:id="383"/>
    <w:bookmarkStart w:name="z413" w:id="384"/>
    <w:p>
      <w:pPr>
        <w:spacing w:after="0"/>
        <w:ind w:left="0"/>
        <w:jc w:val="both"/>
      </w:pPr>
      <w:r>
        <w:rPr>
          <w:rFonts w:ascii="Times New Roman"/>
          <w:b w:val="false"/>
          <w:i w:val="false"/>
          <w:color w:val="000000"/>
          <w:sz w:val="28"/>
        </w:rPr>
        <w:t>
      в) зависимость от объема выборки. Правило 3</w:t>
      </w:r>
      <w:r>
        <w:rPr>
          <w:rFonts w:ascii="Times New Roman"/>
          <w:b w:val="false"/>
          <w:i w:val="false"/>
          <w:color w:val="000000"/>
          <w:sz w:val="28"/>
        </w:rPr>
        <w:t>s</w:t>
      </w:r>
      <w:r>
        <w:rPr>
          <w:rFonts w:ascii="Times New Roman"/>
          <w:b w:val="false"/>
          <w:i w:val="false"/>
          <w:color w:val="000000"/>
          <w:sz w:val="28"/>
        </w:rPr>
        <w:t xml:space="preserve"> может давать разные результаты в зависимости от объема выборки. Чем больше выборка, тем более точные результаты можно получить с помощью правила 3</w:t>
      </w:r>
      <w:r>
        <w:rPr>
          <w:rFonts w:ascii="Times New Roman"/>
          <w:b w:val="false"/>
          <w:i w:val="false"/>
          <w:color w:val="000000"/>
          <w:sz w:val="28"/>
        </w:rPr>
        <w:t>s</w:t>
      </w:r>
      <w:r>
        <w:rPr>
          <w:rFonts w:ascii="Times New Roman"/>
          <w:b w:val="false"/>
          <w:i w:val="false"/>
          <w:color w:val="000000"/>
          <w:sz w:val="28"/>
        </w:rPr>
        <w:t>;</w:t>
      </w:r>
    </w:p>
    <w:bookmarkEnd w:id="384"/>
    <w:bookmarkStart w:name="z414" w:id="385"/>
    <w:p>
      <w:pPr>
        <w:spacing w:after="0"/>
        <w:ind w:left="0"/>
        <w:jc w:val="both"/>
      </w:pPr>
      <w:r>
        <w:rPr>
          <w:rFonts w:ascii="Times New Roman"/>
          <w:b w:val="false"/>
          <w:i w:val="false"/>
          <w:color w:val="000000"/>
          <w:sz w:val="28"/>
        </w:rPr>
        <w:t>
      г) не учитывает другие факторы. Правило 3</w:t>
      </w:r>
      <w:r>
        <w:rPr>
          <w:rFonts w:ascii="Times New Roman"/>
          <w:b w:val="false"/>
          <w:i w:val="false"/>
          <w:color w:val="000000"/>
          <w:sz w:val="28"/>
        </w:rPr>
        <w:t>s</w:t>
      </w:r>
      <w:r>
        <w:rPr>
          <w:rFonts w:ascii="Times New Roman"/>
          <w:b w:val="false"/>
          <w:i w:val="false"/>
          <w:color w:val="000000"/>
          <w:sz w:val="28"/>
        </w:rPr>
        <w:t xml:space="preserve"> не учитывает другие факторы, которые могут влиять на данные. Правило 3</w:t>
      </w:r>
      <w:r>
        <w:rPr>
          <w:rFonts w:ascii="Times New Roman"/>
          <w:b w:val="false"/>
          <w:i w:val="false"/>
          <w:color w:val="000000"/>
          <w:sz w:val="28"/>
        </w:rPr>
        <w:t>s</w:t>
      </w:r>
      <w:r>
        <w:rPr>
          <w:rFonts w:ascii="Times New Roman"/>
          <w:b w:val="false"/>
          <w:i w:val="false"/>
          <w:color w:val="000000"/>
          <w:sz w:val="28"/>
        </w:rPr>
        <w:t xml:space="preserve"> рассматривает только разброс значений относительно среднего значения, не учитывая возможные систематические ошибки или влияние других переменных.</w:t>
      </w:r>
    </w:p>
    <w:bookmarkEnd w:id="385"/>
    <w:bookmarkStart w:name="z415" w:id="386"/>
    <w:p>
      <w:pPr>
        <w:spacing w:after="0"/>
        <w:ind w:left="0"/>
        <w:jc w:val="both"/>
      </w:pPr>
      <w:r>
        <w:rPr>
          <w:rFonts w:ascii="Times New Roman"/>
          <w:b w:val="false"/>
          <w:i w:val="false"/>
          <w:color w:val="000000"/>
          <w:sz w:val="28"/>
        </w:rPr>
        <w:t>
      Нормальное распределение рассчитывается по формуле:</w:t>
      </w:r>
    </w:p>
    <w:bookmarkEnd w:id="386"/>
    <w:bookmarkStart w:name="z416"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248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88"/>
    <w:p>
      <w:pPr>
        <w:spacing w:after="0"/>
        <w:ind w:left="0"/>
        <w:jc w:val="both"/>
      </w:pPr>
      <w:r>
        <w:rPr>
          <w:rFonts w:ascii="Times New Roman"/>
          <w:b w:val="false"/>
          <w:i w:val="false"/>
          <w:color w:val="000000"/>
          <w:sz w:val="28"/>
        </w:rPr>
        <w:t>
      где:</w:t>
      </w:r>
    </w:p>
    <w:bookmarkEnd w:id="388"/>
    <w:bookmarkStart w:name="z418"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w:t>
      </w:r>
      <w:r>
        <w:rPr>
          <w:rFonts w:ascii="Times New Roman"/>
          <w:b w:val="false"/>
          <w:i/>
          <w:color w:val="000000"/>
          <w:sz w:val="28"/>
        </w:rPr>
        <w:t>функция нормального распределения;</w:t>
      </w:r>
    </w:p>
    <w:bookmarkEnd w:id="389"/>
    <w:bookmarkStart w:name="z419" w:id="390"/>
    <w:p>
      <w:pPr>
        <w:spacing w:after="0"/>
        <w:ind w:left="0"/>
        <w:jc w:val="both"/>
      </w:pPr>
      <w:r>
        <w:rPr>
          <w:rFonts w:ascii="Times New Roman"/>
          <w:b w:val="false"/>
          <w:i w:val="false"/>
          <w:color w:val="000000"/>
          <w:sz w:val="28"/>
        </w:rPr>
        <w:t xml:space="preserve">
      x – </w:t>
      </w:r>
      <w:r>
        <w:rPr>
          <w:rFonts w:ascii="Times New Roman"/>
          <w:b w:val="false"/>
          <w:i/>
          <w:color w:val="000000"/>
          <w:sz w:val="28"/>
        </w:rPr>
        <w:t>значение</w:t>
      </w:r>
      <w:r>
        <w:rPr>
          <w:rFonts w:ascii="Times New Roman"/>
          <w:b w:val="false"/>
          <w:i/>
          <w:color w:val="000000"/>
          <w:sz w:val="28"/>
        </w:rPr>
        <w:t>,</w:t>
      </w:r>
      <w:r>
        <w:rPr>
          <w:rFonts w:ascii="Times New Roman"/>
          <w:b w:val="false"/>
          <w:i w:val="false"/>
          <w:color w:val="000000"/>
          <w:sz w:val="28"/>
        </w:rPr>
        <w:t xml:space="preserve"> для которого рассчитывается плотность вероятности;</w:t>
      </w:r>
    </w:p>
    <w:bookmarkEnd w:id="390"/>
    <w:bookmarkStart w:name="z420" w:id="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величина среднеквадратического отклонения;</w:t>
      </w:r>
    </w:p>
    <w:bookmarkEnd w:id="391"/>
    <w:bookmarkStart w:name="z421" w:id="3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 xml:space="preserve"> – число пи 3,142;</w:t>
      </w:r>
    </w:p>
    <w:bookmarkEnd w:id="392"/>
    <w:bookmarkStart w:name="z422" w:id="393"/>
    <w:p>
      <w:pPr>
        <w:spacing w:after="0"/>
        <w:ind w:left="0"/>
        <w:jc w:val="both"/>
      </w:pPr>
      <w:r>
        <w:rPr>
          <w:rFonts w:ascii="Times New Roman"/>
          <w:b w:val="false"/>
          <w:i w:val="false"/>
          <w:color w:val="000000"/>
          <w:sz w:val="28"/>
        </w:rPr>
        <w:t>
      е – основание натурального логарифма 2,718;</w:t>
      </w:r>
    </w:p>
    <w:bookmarkEnd w:id="393"/>
    <w:bookmarkStart w:name="z423" w:id="394"/>
    <w:p>
      <w:pPr>
        <w:spacing w:after="0"/>
        <w:ind w:left="0"/>
        <w:jc w:val="both"/>
      </w:pPr>
      <w:r>
        <w:rPr>
          <w:rFonts w:ascii="Times New Roman"/>
          <w:b w:val="false"/>
          <w:i w:val="false"/>
          <w:color w:val="000000"/>
          <w:sz w:val="28"/>
        </w:rPr>
        <w:t>
      m – математическое ожидание (среднеарифметическое значение выборки);</w:t>
      </w:r>
    </w:p>
    <w:bookmarkEnd w:id="394"/>
    <w:bookmarkStart w:name="z424"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 xml:space="preserve">2 </w:t>
      </w:r>
      <w:r>
        <w:rPr>
          <w:rFonts w:ascii="Times New Roman"/>
          <w:b w:val="false"/>
          <w:i w:val="false"/>
          <w:color w:val="000000"/>
          <w:sz w:val="28"/>
        </w:rPr>
        <w:t>– дисперсия.</w:t>
      </w:r>
    </w:p>
    <w:bookmarkEnd w:id="395"/>
    <w:bookmarkStart w:name="z425" w:id="396"/>
    <w:p>
      <w:pPr>
        <w:spacing w:after="0"/>
        <w:ind w:left="0"/>
        <w:jc w:val="both"/>
      </w:pPr>
      <w:r>
        <w:rPr>
          <w:rFonts w:ascii="Times New Roman"/>
          <w:b w:val="false"/>
          <w:i w:val="false"/>
          <w:color w:val="000000"/>
          <w:sz w:val="28"/>
        </w:rPr>
        <w:t xml:space="preserve">
      Построенный график нормального распределения будет иметь вид колбообразной кривой (как показано на рисунке 1), на котором будут отмечены диапазоны ± </w:t>
      </w:r>
      <w:r>
        <w:rPr>
          <w:rFonts w:ascii="Times New Roman"/>
          <w:b w:val="false"/>
          <w:i w:val="false"/>
          <w:color w:val="000000"/>
          <w:sz w:val="28"/>
        </w:rPr>
        <w:t>s</w:t>
      </w:r>
      <w:r>
        <w:rPr>
          <w:rFonts w:ascii="Times New Roman"/>
          <w:b w:val="false"/>
          <w:i w:val="false"/>
          <w:color w:val="000000"/>
          <w:sz w:val="28"/>
        </w:rPr>
        <w:t>, ± 2</w:t>
      </w:r>
      <w:r>
        <w:rPr>
          <w:rFonts w:ascii="Times New Roman"/>
          <w:b w:val="false"/>
          <w:i w:val="false"/>
          <w:color w:val="000000"/>
          <w:sz w:val="28"/>
        </w:rPr>
        <w:t>s</w:t>
      </w:r>
      <w:r>
        <w:rPr>
          <w:rFonts w:ascii="Times New Roman"/>
          <w:b w:val="false"/>
          <w:i w:val="false"/>
          <w:color w:val="000000"/>
          <w:sz w:val="28"/>
        </w:rPr>
        <w:t>, ± 3</w:t>
      </w:r>
      <w:r>
        <w:rPr>
          <w:rFonts w:ascii="Times New Roman"/>
          <w:b w:val="false"/>
          <w:i w:val="false"/>
          <w:color w:val="000000"/>
          <w:sz w:val="28"/>
        </w:rPr>
        <w:t>s</w:t>
      </w:r>
      <w:r>
        <w:rPr>
          <w:rFonts w:ascii="Times New Roman"/>
          <w:b w:val="false"/>
          <w:i w:val="false"/>
          <w:color w:val="000000"/>
          <w:sz w:val="28"/>
        </w:rPr>
        <w:t>.</w:t>
      </w:r>
    </w:p>
    <w:bookmarkEnd w:id="396"/>
    <w:bookmarkStart w:name="z426"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5181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98"/>
    <w:p>
      <w:pPr>
        <w:spacing w:after="0"/>
        <w:ind w:left="0"/>
        <w:jc w:val="both"/>
      </w:pPr>
      <w:r>
        <w:rPr>
          <w:rFonts w:ascii="Times New Roman"/>
          <w:b w:val="false"/>
          <w:i w:val="false"/>
          <w:color w:val="000000"/>
          <w:sz w:val="28"/>
        </w:rPr>
        <w:t>
      Рисунок 1. График нормального распределения</w:t>
      </w:r>
    </w:p>
    <w:bookmarkEnd w:id="398"/>
    <w:bookmarkStart w:name="z428" w:id="399"/>
    <w:p>
      <w:pPr>
        <w:spacing w:after="0"/>
        <w:ind w:left="0"/>
        <w:jc w:val="both"/>
      </w:pPr>
      <w:r>
        <w:rPr>
          <w:rFonts w:ascii="Times New Roman"/>
          <w:b w:val="false"/>
          <w:i w:val="false"/>
          <w:color w:val="000000"/>
          <w:sz w:val="28"/>
        </w:rPr>
        <w:t>
      Уровень действия = М ± 3</w:t>
      </w:r>
      <w:r>
        <w:rPr>
          <w:rFonts w:ascii="Times New Roman"/>
          <w:b w:val="false"/>
          <w:i w:val="false"/>
          <w:color w:val="000000"/>
          <w:sz w:val="28"/>
        </w:rPr>
        <w:t>s</w:t>
      </w:r>
      <w:r>
        <w:rPr>
          <w:rFonts w:ascii="Times New Roman"/>
          <w:b w:val="false"/>
          <w:i w:val="false"/>
          <w:color w:val="000000"/>
          <w:sz w:val="28"/>
        </w:rPr>
        <w:t>. Уровень тревоги = М ± 2</w:t>
      </w:r>
      <w:r>
        <w:rPr>
          <w:rFonts w:ascii="Times New Roman"/>
          <w:b w:val="false"/>
          <w:i w:val="false"/>
          <w:color w:val="000000"/>
          <w:sz w:val="28"/>
        </w:rPr>
        <w:t>s</w:t>
      </w:r>
      <w:r>
        <w:rPr>
          <w:rFonts w:ascii="Times New Roman"/>
          <w:b w:val="false"/>
          <w:i w:val="false"/>
          <w:color w:val="000000"/>
          <w:sz w:val="28"/>
        </w:rPr>
        <w:t>.</w:t>
      </w:r>
    </w:p>
    <w:bookmarkEnd w:id="399"/>
    <w:p>
      <w:pPr>
        <w:spacing w:after="0"/>
        <w:ind w:left="0"/>
        <w:jc w:val="both"/>
      </w:pPr>
      <w:bookmarkStart w:name="z429" w:id="400"/>
      <w:r>
        <w:rPr>
          <w:rFonts w:ascii="Times New Roman"/>
          <w:b w:val="false"/>
          <w:i w:val="false"/>
          <w:color w:val="000000"/>
          <w:sz w:val="28"/>
        </w:rPr>
        <w:t>
      Наложив экспериментальные результаты на график плотности значения микробиологического мониторинга, можно оценить распределение полученных результатов. При нормальном распределении приблизительно 99,7 % всех значений лежат в пределе 3</w:t>
      </w:r>
      <w:r>
        <w:rPr>
          <w:rFonts w:ascii="Times New Roman"/>
          <w:b w:val="false"/>
          <w:i w:val="false"/>
          <w:color w:val="000000"/>
          <w:sz w:val="28"/>
        </w:rPr>
        <w:t>s</w:t>
      </w:r>
      <w:r>
        <w:rPr>
          <w:rFonts w:ascii="Times New Roman"/>
          <w:b w:val="false"/>
          <w:i w:val="false"/>
          <w:color w:val="000000"/>
          <w:sz w:val="28"/>
        </w:rPr>
        <w:t xml:space="preserve"> от математического ожидания (среднего значения), около</w:t>
      </w:r>
    </w:p>
    <w:bookmarkEnd w:id="400"/>
    <w:p>
      <w:pPr>
        <w:spacing w:after="0"/>
        <w:ind w:left="0"/>
        <w:jc w:val="both"/>
      </w:pPr>
      <w:r>
        <w:rPr>
          <w:rFonts w:ascii="Times New Roman"/>
          <w:b w:val="false"/>
          <w:i w:val="false"/>
          <w:color w:val="000000"/>
          <w:sz w:val="28"/>
        </w:rPr>
        <w:t>95 % – в пределах 2</w:t>
      </w:r>
      <w:r>
        <w:rPr>
          <w:rFonts w:ascii="Times New Roman"/>
          <w:b w:val="false"/>
          <w:i w:val="false"/>
          <w:color w:val="000000"/>
          <w:sz w:val="28"/>
        </w:rPr>
        <w:t>s</w:t>
      </w:r>
      <w:r>
        <w:rPr>
          <w:rFonts w:ascii="Times New Roman"/>
          <w:b w:val="false"/>
          <w:i w:val="false"/>
          <w:color w:val="000000"/>
          <w:sz w:val="28"/>
        </w:rPr>
        <w:t xml:space="preserve">, а примерно 68 % значений лежат в пределах </w:t>
      </w:r>
    </w:p>
    <w:p>
      <w:pPr>
        <w:spacing w:after="0"/>
        <w:ind w:left="0"/>
        <w:jc w:val="both"/>
      </w:pPr>
      <w:r>
        <w:rPr>
          <w:rFonts w:ascii="Times New Roman"/>
          <w:b w:val="false"/>
          <w:i w:val="false"/>
          <w:color w:val="000000"/>
          <w:sz w:val="28"/>
        </w:rPr>
        <w:t xml:space="preserve">всего </w:t>
      </w:r>
      <w:r>
        <w:rPr>
          <w:rFonts w:ascii="Times New Roman"/>
          <w:b w:val="false"/>
          <w:i w:val="false"/>
          <w:color w:val="000000"/>
          <w:sz w:val="28"/>
        </w:rPr>
        <w:t>s</w:t>
      </w:r>
      <w:r>
        <w:rPr>
          <w:rFonts w:ascii="Times New Roman"/>
          <w:b w:val="false"/>
          <w:i w:val="false"/>
          <w:color w:val="000000"/>
          <w:sz w:val="28"/>
        </w:rPr>
        <w:t xml:space="preserve">. </w:t>
      </w:r>
    </w:p>
    <w:bookmarkStart w:name="z430" w:id="401"/>
    <w:p>
      <w:pPr>
        <w:spacing w:after="0"/>
        <w:ind w:left="0"/>
        <w:jc w:val="both"/>
      </w:pPr>
      <w:r>
        <w:rPr>
          <w:rFonts w:ascii="Times New Roman"/>
          <w:b w:val="false"/>
          <w:i w:val="false"/>
          <w:color w:val="000000"/>
          <w:sz w:val="28"/>
        </w:rPr>
        <w:t>
      Значения 2</w:t>
      </w:r>
      <w:r>
        <w:rPr>
          <w:rFonts w:ascii="Times New Roman"/>
          <w:b w:val="false"/>
          <w:i w:val="false"/>
          <w:color w:val="000000"/>
          <w:sz w:val="28"/>
        </w:rPr>
        <w:t>s</w:t>
      </w:r>
      <w:r>
        <w:rPr>
          <w:rFonts w:ascii="Times New Roman"/>
          <w:b w:val="false"/>
          <w:i w:val="false"/>
          <w:color w:val="000000"/>
          <w:sz w:val="28"/>
        </w:rPr>
        <w:t>, как правило, являются уровнем действия.</w:t>
      </w:r>
    </w:p>
    <w:bookmarkEnd w:id="401"/>
    <w:bookmarkStart w:name="z431" w:id="402"/>
    <w:p>
      <w:pPr>
        <w:spacing w:after="0"/>
        <w:ind w:left="0"/>
        <w:jc w:val="left"/>
      </w:pPr>
      <w:r>
        <w:rPr>
          <w:rFonts w:ascii="Times New Roman"/>
          <w:b/>
          <w:i w:val="false"/>
          <w:color w:val="000000"/>
        </w:rPr>
        <w:t xml:space="preserve"> 3. Метод построения контрольной карты Шухарта</w:t>
      </w:r>
    </w:p>
    <w:bookmarkEnd w:id="402"/>
    <w:bookmarkStart w:name="z432" w:id="403"/>
    <w:p>
      <w:pPr>
        <w:spacing w:after="0"/>
        <w:ind w:left="0"/>
        <w:jc w:val="both"/>
      </w:pPr>
      <w:r>
        <w:rPr>
          <w:rFonts w:ascii="Times New Roman"/>
          <w:b w:val="false"/>
          <w:i w:val="false"/>
          <w:color w:val="000000"/>
          <w:sz w:val="28"/>
        </w:rPr>
        <w:t>
      9. Цель построения контрольной карты Шухарта (далее – карта Шухарта) – выявление точек выхода параметров процесса из стабильного состояния для последующего установления причин появившегося отклонения от стабильного состояния и их устранения. Задачи построения карты Шухарта – определить границы системной вариативности процесса, спрогнозировать поведение процесса в ближайшем будущем на основе предшествующих данных о процессе.</w:t>
      </w:r>
    </w:p>
    <w:bookmarkEnd w:id="403"/>
    <w:bookmarkStart w:name="z433" w:id="404"/>
    <w:p>
      <w:pPr>
        <w:spacing w:after="0"/>
        <w:ind w:left="0"/>
        <w:jc w:val="both"/>
      </w:pPr>
      <w:r>
        <w:rPr>
          <w:rFonts w:ascii="Times New Roman"/>
          <w:b w:val="false"/>
          <w:i w:val="false"/>
          <w:color w:val="000000"/>
          <w:sz w:val="28"/>
        </w:rPr>
        <w:t>
      10. Карта Шухарта имеет центральную линию, соответствующую среднему значению характеристики, две статистические определяемые контрольные границы относительно центральной линии, которые называются верхней контрольной границей и нижней контрольной границей. Контрольные границы на карте Шухарта находятся на расстоянии ± 3</w:t>
      </w:r>
      <w:r>
        <w:rPr>
          <w:rFonts w:ascii="Times New Roman"/>
          <w:b w:val="false"/>
          <w:i w:val="false"/>
          <w:color w:val="000000"/>
          <w:sz w:val="28"/>
        </w:rPr>
        <w:t>s</w:t>
      </w:r>
      <w:r>
        <w:rPr>
          <w:rFonts w:ascii="Times New Roman"/>
          <w:b w:val="false"/>
          <w:i w:val="false"/>
          <w:color w:val="000000"/>
          <w:sz w:val="28"/>
        </w:rPr>
        <w:t xml:space="preserve"> от центральной линии, где </w:t>
      </w:r>
      <w:r>
        <w:rPr>
          <w:rFonts w:ascii="Times New Roman"/>
          <w:b w:val="false"/>
          <w:i w:val="false"/>
          <w:color w:val="000000"/>
          <w:sz w:val="28"/>
        </w:rPr>
        <w:t>s</w:t>
      </w:r>
      <w:r>
        <w:rPr>
          <w:rFonts w:ascii="Times New Roman"/>
          <w:b w:val="false"/>
          <w:i w:val="false"/>
          <w:color w:val="000000"/>
          <w:sz w:val="28"/>
        </w:rPr>
        <w:t xml:space="preserve"> – генеральное стандартное отклонение используемой статистики. </w:t>
      </w:r>
    </w:p>
    <w:bookmarkEnd w:id="404"/>
    <w:bookmarkStart w:name="z43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7818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818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06"/>
    <w:p>
      <w:pPr>
        <w:spacing w:after="0"/>
        <w:ind w:left="0"/>
        <w:jc w:val="both"/>
      </w:pPr>
      <w:r>
        <w:rPr>
          <w:rFonts w:ascii="Times New Roman"/>
          <w:b w:val="false"/>
          <w:i w:val="false"/>
          <w:color w:val="000000"/>
          <w:sz w:val="28"/>
        </w:rPr>
        <w:t>
      Рисунок 2. Контрольная карта Шухарта</w:t>
      </w:r>
    </w:p>
    <w:bookmarkEnd w:id="406"/>
    <w:bookmarkStart w:name="z436" w:id="407"/>
    <w:p>
      <w:pPr>
        <w:spacing w:after="0"/>
        <w:ind w:left="0"/>
        <w:jc w:val="both"/>
      </w:pPr>
      <w:r>
        <w:rPr>
          <w:rFonts w:ascii="Times New Roman"/>
          <w:b w:val="false"/>
          <w:i w:val="false"/>
          <w:color w:val="000000"/>
          <w:sz w:val="28"/>
        </w:rPr>
        <w:t>
      11. Карты Шухарта позволяют оценить, кроме распределения значений и их симметричность, наличие отклонений от трендов (ООТ).</w:t>
      </w:r>
    </w:p>
    <w:bookmarkEnd w:id="407"/>
    <w:bookmarkStart w:name="z437" w:id="408"/>
    <w:p>
      <w:pPr>
        <w:spacing w:after="0"/>
        <w:ind w:left="0"/>
        <w:jc w:val="both"/>
      </w:pPr>
      <w:r>
        <w:rPr>
          <w:rFonts w:ascii="Times New Roman"/>
          <w:b w:val="false"/>
          <w:i w:val="false"/>
          <w:color w:val="000000"/>
          <w:sz w:val="28"/>
        </w:rPr>
        <w:t>
      Признаками отклонений от трендов являются:</w:t>
      </w:r>
    </w:p>
    <w:bookmarkEnd w:id="408"/>
    <w:bookmarkStart w:name="z438" w:id="409"/>
    <w:p>
      <w:pPr>
        <w:spacing w:after="0"/>
        <w:ind w:left="0"/>
        <w:jc w:val="both"/>
      </w:pPr>
      <w:r>
        <w:rPr>
          <w:rFonts w:ascii="Times New Roman"/>
          <w:b w:val="false"/>
          <w:i w:val="false"/>
          <w:color w:val="000000"/>
          <w:sz w:val="28"/>
        </w:rPr>
        <w:t xml:space="preserve">
      а) девять точек подряд в зоне ± </w:t>
      </w:r>
      <w:r>
        <w:rPr>
          <w:rFonts w:ascii="Times New Roman"/>
          <w:b w:val="false"/>
          <w:i w:val="false"/>
          <w:color w:val="000000"/>
          <w:sz w:val="28"/>
        </w:rPr>
        <w:t>s</w:t>
      </w:r>
      <w:r>
        <w:rPr>
          <w:rFonts w:ascii="Times New Roman"/>
          <w:b w:val="false"/>
          <w:i w:val="false"/>
          <w:color w:val="000000"/>
          <w:sz w:val="28"/>
        </w:rPr>
        <w:t xml:space="preserve"> или по одну сторону от центральной линии;</w:t>
      </w:r>
    </w:p>
    <w:bookmarkEnd w:id="409"/>
    <w:bookmarkStart w:name="z439" w:id="410"/>
    <w:p>
      <w:pPr>
        <w:spacing w:after="0"/>
        <w:ind w:left="0"/>
        <w:jc w:val="both"/>
      </w:pPr>
      <w:r>
        <w:rPr>
          <w:rFonts w:ascii="Times New Roman"/>
          <w:b w:val="false"/>
          <w:i w:val="false"/>
          <w:color w:val="000000"/>
          <w:sz w:val="28"/>
        </w:rPr>
        <w:t>
      б) шесть возрастающих или убывающих точек подряд;</w:t>
      </w:r>
    </w:p>
    <w:bookmarkEnd w:id="410"/>
    <w:bookmarkStart w:name="z440" w:id="411"/>
    <w:p>
      <w:pPr>
        <w:spacing w:after="0"/>
        <w:ind w:left="0"/>
        <w:jc w:val="both"/>
      </w:pPr>
      <w:r>
        <w:rPr>
          <w:rFonts w:ascii="Times New Roman"/>
          <w:b w:val="false"/>
          <w:i w:val="false"/>
          <w:color w:val="000000"/>
          <w:sz w:val="28"/>
        </w:rPr>
        <w:t>
      в) четырнадцать попеременно возрастающих и убывающих точек;</w:t>
      </w:r>
    </w:p>
    <w:bookmarkEnd w:id="411"/>
    <w:bookmarkStart w:name="z441" w:id="412"/>
    <w:p>
      <w:pPr>
        <w:spacing w:after="0"/>
        <w:ind w:left="0"/>
        <w:jc w:val="both"/>
      </w:pPr>
      <w:r>
        <w:rPr>
          <w:rFonts w:ascii="Times New Roman"/>
          <w:b w:val="false"/>
          <w:i w:val="false"/>
          <w:color w:val="000000"/>
          <w:sz w:val="28"/>
        </w:rPr>
        <w:t>
      г) две из трех последовательных точек в зоне ± 3</w:t>
      </w:r>
      <w:r>
        <w:rPr>
          <w:rFonts w:ascii="Times New Roman"/>
          <w:b w:val="false"/>
          <w:i w:val="false"/>
          <w:color w:val="000000"/>
          <w:sz w:val="28"/>
        </w:rPr>
        <w:t>s</w:t>
      </w:r>
      <w:r>
        <w:rPr>
          <w:rFonts w:ascii="Times New Roman"/>
          <w:b w:val="false"/>
          <w:i w:val="false"/>
          <w:color w:val="000000"/>
          <w:sz w:val="28"/>
        </w:rPr>
        <w:t xml:space="preserve"> или вне ее;</w:t>
      </w:r>
    </w:p>
    <w:bookmarkEnd w:id="412"/>
    <w:bookmarkStart w:name="z442" w:id="413"/>
    <w:p>
      <w:pPr>
        <w:spacing w:after="0"/>
        <w:ind w:left="0"/>
        <w:jc w:val="both"/>
      </w:pPr>
      <w:r>
        <w:rPr>
          <w:rFonts w:ascii="Times New Roman"/>
          <w:b w:val="false"/>
          <w:i w:val="false"/>
          <w:color w:val="000000"/>
          <w:sz w:val="28"/>
        </w:rPr>
        <w:t>
      д) четыре из пяти последовательных точек в зоне ± 2</w:t>
      </w:r>
      <w:r>
        <w:rPr>
          <w:rFonts w:ascii="Times New Roman"/>
          <w:b w:val="false"/>
          <w:i w:val="false"/>
          <w:color w:val="000000"/>
          <w:sz w:val="28"/>
        </w:rPr>
        <w:t>s</w:t>
      </w:r>
      <w:r>
        <w:rPr>
          <w:rFonts w:ascii="Times New Roman"/>
          <w:b w:val="false"/>
          <w:i w:val="false"/>
          <w:color w:val="000000"/>
          <w:sz w:val="28"/>
        </w:rPr>
        <w:t xml:space="preserve"> или вне ее;</w:t>
      </w:r>
    </w:p>
    <w:bookmarkEnd w:id="413"/>
    <w:bookmarkStart w:name="z443" w:id="414"/>
    <w:p>
      <w:pPr>
        <w:spacing w:after="0"/>
        <w:ind w:left="0"/>
        <w:jc w:val="both"/>
      </w:pPr>
      <w:r>
        <w:rPr>
          <w:rFonts w:ascii="Times New Roman"/>
          <w:b w:val="false"/>
          <w:i w:val="false"/>
          <w:color w:val="000000"/>
          <w:sz w:val="28"/>
        </w:rPr>
        <w:t xml:space="preserve">
      е) пятнадцать последовательных точек в зоне ± </w:t>
      </w:r>
      <w:r>
        <w:rPr>
          <w:rFonts w:ascii="Times New Roman"/>
          <w:b w:val="false"/>
          <w:i w:val="false"/>
          <w:color w:val="000000"/>
          <w:sz w:val="28"/>
        </w:rPr>
        <w:t>s</w:t>
      </w:r>
      <w:r>
        <w:rPr>
          <w:rFonts w:ascii="Times New Roman"/>
          <w:b w:val="false"/>
          <w:i w:val="false"/>
          <w:color w:val="000000"/>
          <w:sz w:val="28"/>
        </w:rPr>
        <w:t xml:space="preserve"> выше и ниже центральной линии;</w:t>
      </w:r>
    </w:p>
    <w:bookmarkEnd w:id="414"/>
    <w:bookmarkStart w:name="z444" w:id="415"/>
    <w:p>
      <w:pPr>
        <w:spacing w:after="0"/>
        <w:ind w:left="0"/>
        <w:jc w:val="both"/>
      </w:pPr>
      <w:r>
        <w:rPr>
          <w:rFonts w:ascii="Times New Roman"/>
          <w:b w:val="false"/>
          <w:i w:val="false"/>
          <w:color w:val="000000"/>
          <w:sz w:val="28"/>
        </w:rPr>
        <w:t xml:space="preserve">
      ж) восемь последовательных точек по обеим сторонам центральной линии и ни одной в зоне ± </w:t>
      </w:r>
      <w:r>
        <w:rPr>
          <w:rFonts w:ascii="Times New Roman"/>
          <w:b w:val="false"/>
          <w:i w:val="false"/>
          <w:color w:val="000000"/>
          <w:sz w:val="28"/>
        </w:rPr>
        <w:t>s</w:t>
      </w:r>
      <w:r>
        <w:rPr>
          <w:rFonts w:ascii="Times New Roman"/>
          <w:b w:val="false"/>
          <w:i w:val="false"/>
          <w:color w:val="000000"/>
          <w:sz w:val="28"/>
        </w:rPr>
        <w:t>.</w:t>
      </w:r>
    </w:p>
    <w:bookmarkEnd w:id="415"/>
    <w:bookmarkStart w:name="z445" w:id="416"/>
    <w:p>
      <w:pPr>
        <w:spacing w:after="0"/>
        <w:ind w:left="0"/>
        <w:jc w:val="both"/>
      </w:pPr>
      <w:r>
        <w:rPr>
          <w:rFonts w:ascii="Times New Roman"/>
          <w:b w:val="false"/>
          <w:i w:val="false"/>
          <w:color w:val="000000"/>
          <w:sz w:val="28"/>
        </w:rPr>
        <w:t>
      Производитель может для оценки отклонений от трендов применять не все признаки, а выбрать отдельные их комбинации.</w:t>
      </w:r>
    </w:p>
    <w:bookmarkEnd w:id="416"/>
    <w:bookmarkStart w:name="z446" w:id="417"/>
    <w:p>
      <w:pPr>
        <w:spacing w:after="0"/>
        <w:ind w:left="0"/>
        <w:jc w:val="both"/>
      </w:pPr>
      <w:r>
        <w:rPr>
          <w:rFonts w:ascii="Times New Roman"/>
          <w:b w:val="false"/>
          <w:i w:val="false"/>
          <w:color w:val="000000"/>
          <w:sz w:val="28"/>
        </w:rPr>
        <w:t>
      12. Результаты микробиологического мониторинга, согласно накопленному опыту, имеют распределение, отличное от нормального, которое характеризуется следующим:</w:t>
      </w:r>
    </w:p>
    <w:bookmarkEnd w:id="417"/>
    <w:bookmarkStart w:name="z447" w:id="418"/>
    <w:p>
      <w:pPr>
        <w:spacing w:after="0"/>
        <w:ind w:left="0"/>
        <w:jc w:val="both"/>
      </w:pPr>
      <w:r>
        <w:rPr>
          <w:rFonts w:ascii="Times New Roman"/>
          <w:b w:val="false"/>
          <w:i w:val="false"/>
          <w:color w:val="000000"/>
          <w:sz w:val="28"/>
        </w:rPr>
        <w:t xml:space="preserve">
      гистограмма данных не имеет формы колокола, а имеет более скошенную или ярко-выраженную ассиметричную форму; </w:t>
      </w:r>
    </w:p>
    <w:bookmarkEnd w:id="418"/>
    <w:bookmarkStart w:name="z448" w:id="419"/>
    <w:p>
      <w:pPr>
        <w:spacing w:after="0"/>
        <w:ind w:left="0"/>
        <w:jc w:val="both"/>
      </w:pPr>
      <w:r>
        <w:rPr>
          <w:rFonts w:ascii="Times New Roman"/>
          <w:b w:val="false"/>
          <w:i w:val="false"/>
          <w:color w:val="000000"/>
          <w:sz w:val="28"/>
        </w:rPr>
        <w:t xml:space="preserve">
      коэффициент асимметрии больше или меньше 0; </w:t>
      </w:r>
    </w:p>
    <w:bookmarkEnd w:id="419"/>
    <w:bookmarkStart w:name="z449" w:id="420"/>
    <w:p>
      <w:pPr>
        <w:spacing w:after="0"/>
        <w:ind w:left="0"/>
        <w:jc w:val="both"/>
      </w:pPr>
      <w:r>
        <w:rPr>
          <w:rFonts w:ascii="Times New Roman"/>
          <w:b w:val="false"/>
          <w:i w:val="false"/>
          <w:color w:val="000000"/>
          <w:sz w:val="28"/>
        </w:rPr>
        <w:t>
      высокий коэффициент эксцесса;</w:t>
      </w:r>
    </w:p>
    <w:bookmarkEnd w:id="420"/>
    <w:bookmarkStart w:name="z450" w:id="421"/>
    <w:p>
      <w:pPr>
        <w:spacing w:after="0"/>
        <w:ind w:left="0"/>
        <w:jc w:val="both"/>
      </w:pPr>
      <w:r>
        <w:rPr>
          <w:rFonts w:ascii="Times New Roman"/>
          <w:b w:val="false"/>
          <w:i w:val="false"/>
          <w:color w:val="000000"/>
          <w:sz w:val="28"/>
        </w:rPr>
        <w:t>
      p-значение теста Шапиро-Уилка (статистический тест на нормальность данных) меньше выбранного уровня значимости (обычно 0,05).</w:t>
      </w:r>
    </w:p>
    <w:bookmarkEnd w:id="421"/>
    <w:bookmarkStart w:name="z451" w:id="422"/>
    <w:p>
      <w:pPr>
        <w:spacing w:after="0"/>
        <w:ind w:left="0"/>
        <w:jc w:val="both"/>
      </w:pPr>
      <w:r>
        <w:rPr>
          <w:rFonts w:ascii="Times New Roman"/>
          <w:b w:val="false"/>
          <w:i w:val="false"/>
          <w:color w:val="000000"/>
          <w:sz w:val="28"/>
        </w:rPr>
        <w:t>
      При распределении, отличном от нормального, в диапазоне ± 3</w:t>
      </w:r>
      <w:r>
        <w:rPr>
          <w:rFonts w:ascii="Times New Roman"/>
          <w:b w:val="false"/>
          <w:i w:val="false"/>
          <w:color w:val="000000"/>
          <w:sz w:val="28"/>
        </w:rPr>
        <w:t>s</w:t>
      </w:r>
      <w:r>
        <w:rPr>
          <w:rFonts w:ascii="Times New Roman"/>
          <w:b w:val="false"/>
          <w:i w:val="false"/>
          <w:color w:val="000000"/>
          <w:sz w:val="28"/>
        </w:rPr>
        <w:t xml:space="preserve"> может находиться лишь 88 % вместо 99,7 % всех значений. В этом случае следует провести оценку рисков с учетом влияния производственной среды на качество выпускаемой продукции, оценить корреляцию между микробной контаминацией производственной среды и микробиологической чистотой производимых лекарственных средств.</w:t>
      </w:r>
    </w:p>
    <w:bookmarkEnd w:id="422"/>
    <w:bookmarkStart w:name="z452" w:id="423"/>
    <w:p>
      <w:pPr>
        <w:spacing w:after="0"/>
        <w:ind w:left="0"/>
        <w:jc w:val="left"/>
      </w:pPr>
      <w:r>
        <w:rPr>
          <w:rFonts w:ascii="Times New Roman"/>
          <w:b/>
          <w:i w:val="false"/>
          <w:color w:val="000000"/>
        </w:rPr>
        <w:t xml:space="preserve"> 4. Подход, на основе оценки предшествующих данных микробной контаминации</w:t>
      </w:r>
    </w:p>
    <w:bookmarkEnd w:id="423"/>
    <w:bookmarkStart w:name="z453" w:id="424"/>
    <w:p>
      <w:pPr>
        <w:spacing w:after="0"/>
        <w:ind w:left="0"/>
        <w:jc w:val="both"/>
      </w:pPr>
      <w:r>
        <w:rPr>
          <w:rFonts w:ascii="Times New Roman"/>
          <w:b w:val="false"/>
          <w:i w:val="false"/>
          <w:color w:val="000000"/>
          <w:sz w:val="28"/>
        </w:rPr>
        <w:t>
      13. Для всех объектов контроля в классах чистоты В, С и D:</w:t>
      </w:r>
    </w:p>
    <w:bookmarkEnd w:id="424"/>
    <w:bookmarkStart w:name="z454" w:id="425"/>
    <w:p>
      <w:pPr>
        <w:spacing w:after="0"/>
        <w:ind w:left="0"/>
        <w:jc w:val="both"/>
      </w:pPr>
      <w:r>
        <w:rPr>
          <w:rFonts w:ascii="Times New Roman"/>
          <w:b w:val="false"/>
          <w:i w:val="false"/>
          <w:color w:val="000000"/>
          <w:sz w:val="28"/>
        </w:rPr>
        <w:t xml:space="preserve">
      а) уровень тревоги определяется по формуле: </w:t>
      </w:r>
    </w:p>
    <w:bookmarkEnd w:id="425"/>
    <w:bookmarkStart w:name="z455"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2133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33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27"/>
    <w:p>
      <w:pPr>
        <w:spacing w:after="0"/>
        <w:ind w:left="0"/>
        <w:jc w:val="both"/>
      </w:pPr>
      <w:r>
        <w:rPr>
          <w:rFonts w:ascii="Times New Roman"/>
          <w:b w:val="false"/>
          <w:i w:val="false"/>
          <w:color w:val="000000"/>
          <w:sz w:val="28"/>
        </w:rPr>
        <w:t>
      где:</w:t>
      </w:r>
    </w:p>
    <w:bookmarkEnd w:id="427"/>
    <w:bookmarkStart w:name="z457" w:id="428"/>
    <w:p>
      <w:pPr>
        <w:spacing w:after="0"/>
        <w:ind w:left="0"/>
        <w:jc w:val="both"/>
      </w:pPr>
      <w:r>
        <w:rPr>
          <w:rFonts w:ascii="Times New Roman"/>
          <w:b w:val="false"/>
          <w:i w:val="false"/>
          <w:color w:val="000000"/>
          <w:sz w:val="28"/>
        </w:rPr>
        <w:t>
      УТ – уровень тревоги;</w:t>
      </w:r>
    </w:p>
    <w:bookmarkEnd w:id="428"/>
    <w:bookmarkStart w:name="z458" w:id="42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 среднее значение КОЕ за максимально возможный промежуток времени (не менее 100 значений);</w:t>
      </w:r>
    </w:p>
    <w:bookmarkEnd w:id="429"/>
    <w:bookmarkStart w:name="z459" w:id="430"/>
    <w:p>
      <w:pPr>
        <w:spacing w:after="0"/>
        <w:ind w:left="0"/>
        <w:jc w:val="both"/>
      </w:pPr>
      <w:r>
        <w:rPr>
          <w:rFonts w:ascii="Times New Roman"/>
          <w:b w:val="false"/>
          <w:i w:val="false"/>
          <w:color w:val="000000"/>
          <w:sz w:val="28"/>
        </w:rPr>
        <w:t>
      б) уровень действия определяется по формуле:</w:t>
      </w:r>
    </w:p>
    <w:bookmarkEnd w:id="430"/>
    <w:bookmarkStart w:name="z460"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46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32"/>
    <w:p>
      <w:pPr>
        <w:spacing w:after="0"/>
        <w:ind w:left="0"/>
        <w:jc w:val="both"/>
      </w:pPr>
      <w:r>
        <w:rPr>
          <w:rFonts w:ascii="Times New Roman"/>
          <w:b w:val="false"/>
          <w:i w:val="false"/>
          <w:color w:val="000000"/>
          <w:sz w:val="28"/>
        </w:rPr>
        <w:t>
      где:</w:t>
      </w:r>
    </w:p>
    <w:bookmarkEnd w:id="432"/>
    <w:bookmarkStart w:name="z462" w:id="433"/>
    <w:p>
      <w:pPr>
        <w:spacing w:after="0"/>
        <w:ind w:left="0"/>
        <w:jc w:val="both"/>
      </w:pPr>
      <w:r>
        <w:rPr>
          <w:rFonts w:ascii="Times New Roman"/>
          <w:b w:val="false"/>
          <w:i w:val="false"/>
          <w:color w:val="000000"/>
          <w:sz w:val="28"/>
        </w:rPr>
        <w:t>
      УД – уровень действия;</w:t>
      </w:r>
    </w:p>
    <w:bookmarkEnd w:id="433"/>
    <w:bookmarkStart w:name="z463" w:id="43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 среднее значение КОЕ за максимально возможный промежуток времени (не менее 100 значений).</w:t>
      </w:r>
    </w:p>
    <w:bookmarkEnd w:id="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