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c530" w14:textId="779c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сотрудничества государств – членов Евразийского экономического союза в сфере производства водородного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27 января 2026 года № 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абзацем вторым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Основных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промышленного сотрудничества в рамках Евразийского экономического союза до 2030 года, утвержденных Решением Евразийского межправительственного совета от 1 октября 2024 г. № 2,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сотрудничества в сфере производства новых видов экологичного транспорта на водородных топливных элементах и водородном топливе, а также создания водородной заправочной инфраструктуры государств – членов Союза (далее соответственно – государства-члены, Союз)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заинтересованным государствам-членам с даты опубликования настоящей Рекомендации на официальном сайте Союза: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Содействовать взаимодействию по вопросам промышленно-технологического сотрудничества по разработке инновационных материалов при подготовке опытных образцов водородной техники, комплектующих для водородного транспорта и водородной заправочной инфраструктуры.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Содействовать развитию цепочек поставок комплектующих для изготовления образцов водородного транспорта в рамках Союза.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Способствовать развитию цепочек поставок водорода, систем транспортировки, хранения водорода для стимулирования создания водородной заправочной инфраструктуры.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Содействовать созданию демонстрационных проектов в сфере водородного транспорта с привлечением научных и промышленных центров государств-членов.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Стимулировать обмен опытом по практической реализации пилотных проектов по производству водородного транспорта и созданию водородной заправочной инфраструктуры, а также по подготовке обслуживающих их специалистов.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Проработать возможность создания совместных производств водородного транспорта, топливных элементов на основе действующих производственных площадок с использованием механизма оказания финансового содействия в рамках Союза и обеспечением равноправного доступа к технологическим решениям.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Рассмотреть возможность адаптации имеющихся производств машиностроительных предприятий государств-членов и производителей смежных отраслей промышленности для изготовления комплектующих для водородного транспорта.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Проработать возможность формирования евразийских центров водородных компетенций для разработки новейших технологических решений в сфере водородного транспорта, водородной заправочной инфраструктуры, топливных элементов, используемых на таком транспорте.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Рассмотреть возможность создания евразийской технологической платформы в сфере машиностроения в водородной энергетике.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Рассмотреть возможность формирования транспортных коридоров с водородными заправочными станциями для запуска пилотных проектов по применению водородного транспорта на автомобильных трассах государств-членов при достижении достаточной технологической и экономической зрелости водородных технологий.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