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87ca" w14:textId="1678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отдельных видов турбовинтовых гражданских пассажирских самолетов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января 2026 года № 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пунктом 16 Положения о Евразийской экономической комиссии (приложение № 1 к Договору о Евразийском экономическом союзе от 29 мая 2014 года), пунктами 7 и 16 приложения № 1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 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7.1.95 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"7.1.95. Турбовинтовые гражданские пассажирские самолеты, классифицируемые кодами 8802 30 000 7 и 8802 40 001 6 ТН ВЭД ЕАЭС, с количеством пассажирских мест, указанным в схеме размещения пассажиров (LOPA), одобренной уполномоченным органом, ответственным за поддержание летной годности воздушных судов, не более чем на 90 человек, ввозимые в Республику Казахстан в количестве 6 штук и в Кыргызскую Республику в количестве 2 штук.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Казахстан или таможенным органом Кыргызской Республики с даты вступления в силу Решения Совета Евразийской экономической комиссии от 30 января 2026 г. № 72 по 31 декабря 2028 г. включительно.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пункте 15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"7.1.94" заменить цифрами "7.1.95".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Петкевич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Амангельдиев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