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c33" w14:textId="ab7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игрушек и игр для детей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игрушек и игр для детей до 14 лет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в соответствии с настоящим решением не подлежат изделия, включенные в приложение 1 к техническому регламенту Таможенного союза "О безопасности игрушек" (TP ТС 008/2011)";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включенных перечень, и сроки нахождения в обороте немаркированных товаров определяются законодательством государства-члена;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9503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Самокаты, педальные автомобили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аналогичные игрушки на колесах;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коляски для кукол, куклы, прочие игрушки, модели в уменьшенном размере ("в масштабе") и аналогичные модели для развлечений, действующие или недействующие, головоломки всех видов (кроме трехколесных велосипедов, воздушных шаров)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9504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игральные (кроме карт игральных для азартных игр)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9504 90 100 0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электрических гоночных автомобилей для соревновательных игр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9504 90 800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развлечений, настольные или комнатные игры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5"/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настоящего перечня необходимо руководствоваться как кодом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ЕАЭС, так и наименованием товара.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52__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игрушек и игр для детей до 14 лет, включенных 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52 (далее – товары),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"а"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(а) - Республика Армения, 2 или В (b) - Республика Беларусь, 3 или C (c) - Республика Казахстан, 4 или D (d) - Кыргызская Республика, 5 или E (e) -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 маркируются путем нанесения средства идентификации или материального носителя, содержащего средство идентификации, на них или потребительскую упаковку способом, не допускающим отделения средства идентификации без его повреждений.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идентификации не может наноситься на конструктивно отделяемые без повреждений части потребительской упаковки, не должно печататься на прозрачной оберточной пленке.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52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об игрушках и играх для детей до 14 лет, включенных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52 (далее соответственно – товары, перечень), и их средствах идентификации (далее – сведения) в XML-формате в соответствии со следующими стандартами: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http://www.w3.org/TR/xmlschema-1/ и http://www.w3.org/TR/xmlschema-2/).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 (далее – базовая модель), а также в таблицах 1 – 4 настоящих Требований.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общее описание товара (наименование типа продукции, к которой относится товар.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Например, самокат, кукла, конструктор, головоломка, игра настольная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обозначение, используемое в позиционировании товаров конкретного производителя на целевом рынке.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минимальный возраст ребенка, для которого предназначено изделие в соответствии с информацией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(или) артикул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конструкционный материал товара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основной материал, из которого корпус или само изделие изготовлено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установления срока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применения срока годности или срока службы к товару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указывается: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"срок службы" – если производителем установлен срок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"срок годности" – если производителем установлен срок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"срок использования не устанавливается" – если срок службы и срок годности производителем не установлен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установленный производителем срок службы данного вида товара.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товара, признаком установления срока использования которого является срок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 в движение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9503 00 210 0,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9503 00 410 0, 9503 00 490 0,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9503 00 550 0,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9503 00 750 0,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9503 00 790 0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признаком установления срока использования которых является срок годности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государства-члена Евразийского экономического союза (далее – государство-член), в котором зарегистрирован экспортер.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в пунктах 1 и 2 таблицы 2.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используемых при маркировке товаров, указанных в перечне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– GTIN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глобальный идентификационный номер торговой единицы (GTIN), который используется для идентификации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 + X..13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(N2+X..6)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поле размером 13 символов или 6 символов, следующих непосредственно за ним, содержит индивидуальный серийный номер товара, который присваивается товару на весь срок его службы. В сочетании с GTIN серийный номер является уникальным идентификатором каждой единицы товара. Пояснение: для целей идентификации товаров используется индивидуальный серийный номер товара, состоящий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13 или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товар,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глобальный идентификационный номер торговой единицы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52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товара (SN).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возраст;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и (или) артикул производителя;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конструкционный материал товара;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использования (срок службы товара, дата истечения срока годности или срок использования не установлен);</w:t>
      </w:r>
    </w:p>
    <w:bookmarkEnd w:id="80"/>
    <w:p>
      <w:pPr>
        <w:spacing w:after="0"/>
        <w:ind w:left="0"/>
        <w:jc w:val="both"/>
      </w:pPr>
      <w:bookmarkStart w:name="z113" w:id="81"/>
      <w:r>
        <w:rPr>
          <w:rFonts w:ascii="Times New Roman"/>
          <w:b w:val="false"/>
          <w:i w:val="false"/>
          <w:color w:val="000000"/>
          <w:sz w:val="28"/>
        </w:rPr>
        <w:t>
      тип привода в движение (для товаров, классифицируемых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товарных позициях 9503 00 210 0, 9503 00 410 0, 9503 00 490 0, 9503 00 550 0, 9503 00 750 0, 9503 00 790 0 ТН ВЭД ЕАЭС);</w:t>
      </w:r>
    </w:p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государства – члена Союза (вид документа, номер и дата документа).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