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86e8" w14:textId="58b8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12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июля 2026 года № 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Дополнить пункт 12 Инструкции о порядке использования транспортных (перевозочных), коммерческих и (или) иных документов в качестве декларации на товары,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263, подпунктом 125 следующего содержания:</w:t>
      </w:r>
    </w:p>
    <w:bookmarkEnd w:id="1"/>
    <w:p>
      <w:pPr>
        <w:spacing w:after="0"/>
        <w:ind w:left="0"/>
        <w:jc w:val="both"/>
      </w:pPr>
      <w:bookmarkStart w:name="z6" w:id="2"/>
      <w:r>
        <w:rPr>
          <w:rFonts w:ascii="Times New Roman"/>
          <w:b w:val="false"/>
          <w:i w:val="false"/>
          <w:color w:val="000000"/>
          <w:sz w:val="28"/>
        </w:rPr>
        <w:t xml:space="preserve">
      "125) иностранных товаров, предназначенных исключительно для использования при организации и проведении официальных международных мероприятий в рамках семнадцатой сессии Конференции Сторон Конвенции Организации Объединенных Наций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биологическом разнообразии (COP17), перемещаемых (перемещенных) через таможенную границу Евразийского экономического союза и помещаемых под специальную таможенную процедуру, а также помещаемых в целях завершения действия специальной таможенной процедуры под таможенную процедуру реэкспорта или специальную таможенную процедуру, если ранее такие товары при помещении под специальную таможенную процедуру декларировались с предоставлением перечня;".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10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июля 2026 г. № 70.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