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b344" w14:textId="94eb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гусеничных бульдозеров с неповоротным и поворотным отвалом мощностью до 250 л. с.,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мая 2026 года № 63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продлении действия антидемпинговой меры в отношении гусеничных бульдозеров с неповоротным и поворотным отвалом мощностью до 250 л. с., происходящих из Китайской Народной Республики и ввозимых на таможенную территорию Евразийского экономического союза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решила: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25 февраля 2027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148 "О применении антидемпинговой меры в отношении гусеничных бульдозеров с неповоротным и поворотным отвалом мощностью до 250 л. с., происходящих из Китайской Народной Республики и ввозимых на таможенную территорию Евразийского экономического союза".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25 февраля 2027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148, в порядке, установленном для взимания предварительных антидемпинговых пошлин.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29 июня 2026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