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b344" w14:textId="94eb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гусеничных бульдозеров с неповоротным и поворотным отвалом мощностью до 250 л. с.,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2026 года № 63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продлении действия антидемпинговой меры в отношении гусеничных бульдозеров с неповоротным и поворотным отвалом мощностью до 250 л. с., происходящих из Китайской Народной Республики и ввозимых на таможенную территорию Евразийского экономического союза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решила: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25 февраля 2027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148 "О применении антидемпинговой меры в отношении гусеничных бульдозеров с неповоротным и поворотным отвалом мощностью до 250 л. с., происходящих из Китайской Народной Республики и ввозимых на таможенную территорию Евразийского экономического союза".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25 февраля 2027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148, в порядке, установленном для взимания предварительных антидемпинговых пошлин.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29 июня 2026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