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c49b" w14:textId="7e3c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фосфатов кальция природных, фосфатов алюминиево-кальциевых природных и мела фосфатного, размолотых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января 2026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42 и 45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ставку ввозной таможенной пошлины </w:t>
      </w:r>
      <w:r>
        <w:rPr>
          <w:rFonts w:ascii="Times New Roman"/>
          <w:b w:val="false"/>
          <w:i w:val="false"/>
          <w:color w:val="000000"/>
          <w:sz w:val="28"/>
        </w:rPr>
        <w:t>Единого таможенного 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утвержденного Решением Совета Евразийской экономической комиссии от 14 сентября 2021 г. № 80, в отношении фосфатов кальция природных, фосфатов алюминиево-кальциевых природных и мела фосфатного, размолотых, классифицируемых кодом 2510 20 000 0 ТН ВЭД ЕАЭС, в размере 0 процентов от таможенной стоимости с даты вступления в силу настоящего Решения по 29 февраля 2028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Единый таможенный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утвержденный Решением Совета Евразийской экономической комиссии от 14 сентября 2021 г. № 80,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позиции с кодом 2510 20 000 0 ТН ВЭД ЕАЭС ссылку на примечание к Единому таможенному тарифу Евразийского экономического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83С)</w:t>
      </w:r>
      <w:r>
        <w:rPr>
          <w:rFonts w:ascii="Times New Roman"/>
          <w:b w:val="false"/>
          <w:i w:val="false"/>
          <w:color w:val="000000"/>
          <w:sz w:val="28"/>
        </w:rPr>
        <w:t>" заменить ссылкой "</w:t>
      </w:r>
      <w:r>
        <w:rPr>
          <w:rFonts w:ascii="Times New Roman"/>
          <w:b w:val="false"/>
          <w:i w:val="false"/>
          <w:color w:val="000000"/>
          <w:vertAlign w:val="superscript"/>
        </w:rPr>
        <w:t>116С)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примечаниях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83С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116С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116С)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Коллегии Евразийской экономической комиссии от 13 января 2026 г. № 1 по 29.02.2028 включительно.".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