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35246" w14:textId="9f352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согласованных предложениях по гармонизации законодательства государств – членов Евразийского экономического союза в части основных понятий и определений, используемых в сфере регулирования рынка ценных бумаг, и установления требований к рыночным посредникам (брокерам) на рынке ценных бумаг</w:t>
      </w:r>
    </w:p>
    <w:p>
      <w:pPr>
        <w:spacing w:after="0"/>
        <w:ind w:left="0"/>
        <w:jc w:val="both"/>
      </w:pPr>
      <w:r>
        <w:rPr>
          <w:rFonts w:ascii="Times New Roman"/>
          <w:b w:val="false"/>
          <w:i w:val="false"/>
          <w:color w:val="000000"/>
          <w:sz w:val="28"/>
        </w:rPr>
        <w:t>Рекомендация Совета Евразийской экономической комиссии от 19 ноября 2025 года № 2.</w:t>
      </w:r>
    </w:p>
    <w:p>
      <w:pPr>
        <w:spacing w:after="0"/>
        <w:ind w:left="0"/>
        <w:jc w:val="both"/>
      </w:pPr>
      <w:bookmarkStart w:name="z4" w:id="0"/>
      <w:r>
        <w:rPr>
          <w:rFonts w:ascii="Times New Roman"/>
          <w:b w:val="false"/>
          <w:i w:val="false"/>
          <w:color w:val="000000"/>
          <w:sz w:val="28"/>
        </w:rPr>
        <w:t xml:space="preserve">
      Совет Евразийской экономической комиссии в соответствии с пунктом 3 </w:t>
      </w:r>
      <w:r>
        <w:rPr>
          <w:rFonts w:ascii="Times New Roman"/>
          <w:b w:val="false"/>
          <w:i w:val="false"/>
          <w:color w:val="000000"/>
          <w:sz w:val="28"/>
        </w:rPr>
        <w:t>статьи 70</w:t>
      </w:r>
      <w:r>
        <w:rPr>
          <w:rFonts w:ascii="Times New Roman"/>
          <w:b w:val="false"/>
          <w:i w:val="false"/>
          <w:color w:val="000000"/>
          <w:sz w:val="28"/>
        </w:rPr>
        <w:t xml:space="preserve"> Договора о Евразийском экономическом союзе от 29 мая 2014 года, пунктами 1 – 6, 14, 19, 21, 29 и 30 раздела III </w:t>
      </w:r>
      <w:r>
        <w:rPr>
          <w:rFonts w:ascii="Times New Roman"/>
          <w:b w:val="false"/>
          <w:i w:val="false"/>
          <w:color w:val="000000"/>
          <w:sz w:val="28"/>
        </w:rPr>
        <w:t>плана мероприятий</w:t>
      </w:r>
      <w:r>
        <w:rPr>
          <w:rFonts w:ascii="Times New Roman"/>
          <w:b w:val="false"/>
          <w:i w:val="false"/>
          <w:color w:val="000000"/>
          <w:sz w:val="28"/>
        </w:rPr>
        <w:t xml:space="preserve"> по гармонизации законодательства государств – членов Евразийского экономического союза в сфере финансового рынка, утвержденного распоряжением Совета Евразийской экономической комиссии от 23 ноября 2020 г. № 27,</w:t>
      </w:r>
    </w:p>
    <w:bookmarkEnd w:id="0"/>
    <w:bookmarkStart w:name="z5" w:id="1"/>
    <w:p>
      <w:pPr>
        <w:spacing w:after="0"/>
        <w:ind w:left="0"/>
        <w:jc w:val="both"/>
      </w:pPr>
      <w:r>
        <w:rPr>
          <w:rFonts w:ascii="Times New Roman"/>
          <w:b w:val="false"/>
          <w:i w:val="false"/>
          <w:color w:val="000000"/>
          <w:sz w:val="28"/>
        </w:rPr>
        <w:t xml:space="preserve">
      в целях обеспечения создания в рамках Евразийского экономического союза (далее – Союз) общего финансового рынка, взаимного признания лицензий на осуществление деятельности в секторе услуг на рынке ценных бумаг, недискриминационного доступа на финансовые рынки государств – членов Союза (далее – государства-члены), согласованного регулирования деятельности на рынке ценных бумаг с учетом наилучшей международной практики и принципов Международной организации комиссий по ценным бумагам согласно </w:t>
      </w:r>
      <w:r>
        <w:rPr>
          <w:rFonts w:ascii="Times New Roman"/>
          <w:b w:val="false"/>
          <w:i w:val="false"/>
          <w:color w:val="000000"/>
          <w:sz w:val="28"/>
        </w:rPr>
        <w:t>пункту 25</w:t>
      </w:r>
      <w:r>
        <w:rPr>
          <w:rFonts w:ascii="Times New Roman"/>
          <w:b w:val="false"/>
          <w:i w:val="false"/>
          <w:color w:val="000000"/>
          <w:sz w:val="28"/>
        </w:rPr>
        <w:t xml:space="preserve"> Протокола по финансовым услугам (приложение № 17 к Договору о Евразийском экономическом союзе от 29 мая 2014 года),</w:t>
      </w:r>
    </w:p>
    <w:bookmarkEnd w:id="1"/>
    <w:bookmarkStart w:name="z6" w:id="2"/>
    <w:p>
      <w:pPr>
        <w:spacing w:after="0"/>
        <w:ind w:left="0"/>
        <w:jc w:val="both"/>
      </w:pPr>
      <w:r>
        <w:rPr>
          <w:rFonts w:ascii="Times New Roman"/>
          <w:b w:val="false"/>
          <w:i w:val="false"/>
          <w:color w:val="000000"/>
          <w:sz w:val="28"/>
        </w:rPr>
        <w:t>
      для осуществления гармонизации требований законодательства государств-членов в сфере регулирования рынка ценных бумаг</w:t>
      </w:r>
    </w:p>
    <w:bookmarkEnd w:id="2"/>
    <w:bookmarkStart w:name="z7" w:id="3"/>
    <w:p>
      <w:pPr>
        <w:spacing w:after="0"/>
        <w:ind w:left="0"/>
        <w:jc w:val="both"/>
      </w:pPr>
      <w:r>
        <w:rPr>
          <w:rFonts w:ascii="Times New Roman"/>
          <w:b w:val="false"/>
          <w:i w:val="false"/>
          <w:color w:val="000000"/>
          <w:sz w:val="28"/>
        </w:rPr>
        <w:t xml:space="preserve">
      </w:t>
      </w:r>
      <w:r>
        <w:rPr>
          <w:rFonts w:ascii="Times New Roman"/>
          <w:b/>
          <w:i w:val="false"/>
          <w:color w:val="000000"/>
          <w:sz w:val="28"/>
        </w:rPr>
        <w:t>рекомендует</w:t>
      </w:r>
      <w:r>
        <w:rPr>
          <w:rFonts w:ascii="Times New Roman"/>
          <w:b w:val="false"/>
          <w:i w:val="false"/>
          <w:color w:val="000000"/>
          <w:sz w:val="28"/>
        </w:rPr>
        <w:t xml:space="preserve"> государствам-членам с даты опубликования настоящей Рекомендации на официальном сайте Союза при разработке проектов международных договоров в рамках Союза, а также при совершенствовании законодательства в сфере регулирования рынка ценных бумаг учитывать:</w:t>
      </w:r>
    </w:p>
    <w:bookmarkEnd w:id="3"/>
    <w:bookmarkStart w:name="z8" w:id="4"/>
    <w:p>
      <w:pPr>
        <w:spacing w:after="0"/>
        <w:ind w:left="0"/>
        <w:jc w:val="both"/>
      </w:pPr>
      <w:r>
        <w:rPr>
          <w:rFonts w:ascii="Times New Roman"/>
          <w:b w:val="false"/>
          <w:i w:val="false"/>
          <w:color w:val="000000"/>
          <w:sz w:val="28"/>
        </w:rPr>
        <w:t xml:space="preserve">
      согласованные предложения по гармонизации законодательства государств-членов в части основных понятий и определений, используемых в сфере регулирования рынка ценных бумаг согласно </w:t>
      </w:r>
      <w:r>
        <w:rPr>
          <w:rFonts w:ascii="Times New Roman"/>
          <w:b w:val="false"/>
          <w:i w:val="false"/>
          <w:color w:val="000000"/>
          <w:sz w:val="28"/>
        </w:rPr>
        <w:t>приложению № 1</w:t>
      </w:r>
      <w:r>
        <w:rPr>
          <w:rFonts w:ascii="Times New Roman"/>
          <w:b w:val="false"/>
          <w:i w:val="false"/>
          <w:color w:val="000000"/>
          <w:sz w:val="28"/>
        </w:rPr>
        <w:t>;</w:t>
      </w:r>
    </w:p>
    <w:bookmarkEnd w:id="4"/>
    <w:bookmarkStart w:name="z9" w:id="5"/>
    <w:p>
      <w:pPr>
        <w:spacing w:after="0"/>
        <w:ind w:left="0"/>
        <w:jc w:val="both"/>
      </w:pPr>
      <w:r>
        <w:rPr>
          <w:rFonts w:ascii="Times New Roman"/>
          <w:b w:val="false"/>
          <w:i w:val="false"/>
          <w:color w:val="000000"/>
          <w:sz w:val="28"/>
        </w:rPr>
        <w:t xml:space="preserve">
      согласованные предложения по гармонизации законодательства государств-членов в части установления требований к рыночным посредникам (брокерам) на рынке ценных бумаг согласно </w:t>
      </w:r>
      <w:r>
        <w:rPr>
          <w:rFonts w:ascii="Times New Roman"/>
          <w:b w:val="false"/>
          <w:i w:val="false"/>
          <w:color w:val="000000"/>
          <w:sz w:val="28"/>
        </w:rPr>
        <w:t>приложению № 2</w:t>
      </w:r>
      <w:r>
        <w:rPr>
          <w:rFonts w:ascii="Times New Roman"/>
          <w:b w:val="false"/>
          <w:i w:val="false"/>
          <w:color w:val="000000"/>
          <w:sz w:val="28"/>
        </w:rPr>
        <w:t>.</w:t>
      </w:r>
    </w:p>
    <w:bookmarkEnd w:id="5"/>
    <w:bookmarkStart w:name="z10" w:id="6"/>
    <w:p>
      <w:pPr>
        <w:spacing w:after="0"/>
        <w:ind w:left="0"/>
        <w:jc w:val="both"/>
      </w:pPr>
      <w:r>
        <w:rPr>
          <w:rFonts w:ascii="Times New Roman"/>
          <w:b w:val="false"/>
          <w:i w:val="false"/>
          <w:color w:val="000000"/>
          <w:sz w:val="28"/>
        </w:rPr>
        <w:t xml:space="preserve">
      </w:t>
      </w:r>
      <w:r>
        <w:rPr>
          <w:rFonts w:ascii="Times New Roman"/>
          <w:b/>
          <w:i w:val="false"/>
          <w:color w:val="000000"/>
          <w:sz w:val="28"/>
        </w:rPr>
        <w:t>Члены</w:t>
      </w:r>
      <w:r>
        <w:rPr>
          <w:rFonts w:ascii="Times New Roman"/>
          <w:b w:val="false"/>
          <w:i w:val="false"/>
          <w:color w:val="000000"/>
          <w:sz w:val="28"/>
        </w:rPr>
        <w:t xml:space="preserve"> </w:t>
      </w:r>
      <w:r>
        <w:rPr>
          <w:rFonts w:ascii="Times New Roman"/>
          <w:b/>
          <w:i w:val="false"/>
          <w:color w:val="000000"/>
          <w:sz w:val="28"/>
        </w:rPr>
        <w:t>Совета</w:t>
      </w:r>
      <w:r>
        <w:rPr>
          <w:rFonts w:ascii="Times New Roman"/>
          <w:b w:val="false"/>
          <w:i w:val="false"/>
          <w:color w:val="000000"/>
          <w:sz w:val="28"/>
        </w:rPr>
        <w:t xml:space="preserve"> </w:t>
      </w:r>
      <w:r>
        <w:rPr>
          <w:rFonts w:ascii="Times New Roman"/>
          <w:b/>
          <w:i w:val="false"/>
          <w:color w:val="000000"/>
          <w:sz w:val="28"/>
        </w:rPr>
        <w:t>Евразийской</w:t>
      </w:r>
      <w:r>
        <w:rPr>
          <w:rFonts w:ascii="Times New Roman"/>
          <w:b w:val="false"/>
          <w:i w:val="false"/>
          <w:color w:val="000000"/>
          <w:sz w:val="28"/>
        </w:rPr>
        <w:t xml:space="preserve"> </w:t>
      </w:r>
      <w:r>
        <w:rPr>
          <w:rFonts w:ascii="Times New Roman"/>
          <w:b/>
          <w:i w:val="false"/>
          <w:color w:val="000000"/>
          <w:sz w:val="28"/>
        </w:rPr>
        <w:t>экономической</w:t>
      </w:r>
      <w:r>
        <w:rPr>
          <w:rFonts w:ascii="Times New Roman"/>
          <w:b w:val="false"/>
          <w:i w:val="false"/>
          <w:color w:val="000000"/>
          <w:sz w:val="28"/>
        </w:rPr>
        <w:t xml:space="preserve"> </w:t>
      </w:r>
      <w:r>
        <w:rPr>
          <w:rFonts w:ascii="Times New Roman"/>
          <w:b/>
          <w:i w:val="false"/>
          <w:color w:val="000000"/>
          <w:sz w:val="28"/>
        </w:rPr>
        <w:t>комиссии:</w:t>
      </w:r>
    </w:p>
    <w:bookmarkEnd w:id="6"/>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Армения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Беларусь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Казахстан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Кыргызской</w:t>
            </w:r>
          </w:p>
          <w:p>
            <w:pPr>
              <w:spacing w:after="20"/>
              <w:ind w:left="20"/>
              <w:jc w:val="both"/>
            </w:pPr>
          </w:p>
          <w:p>
            <w:pPr>
              <w:spacing w:after="20"/>
              <w:ind w:left="20"/>
              <w:jc w:val="both"/>
            </w:pPr>
            <w:r>
              <w:rPr>
                <w:rFonts w:ascii="Times New Roman"/>
                <w:b/>
                <w:i w:val="false"/>
                <w:color w:val="000000"/>
                <w:sz w:val="20"/>
              </w:rPr>
              <w:t>Республики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Российской</w:t>
            </w:r>
          </w:p>
          <w:p>
            <w:pPr>
              <w:spacing w:after="20"/>
              <w:ind w:left="20"/>
              <w:jc w:val="both"/>
            </w:pPr>
          </w:p>
          <w:p>
            <w:pPr>
              <w:spacing w:after="20"/>
              <w:ind w:left="20"/>
              <w:jc w:val="both"/>
            </w:pPr>
            <w:r>
              <w:rPr>
                <w:rFonts w:ascii="Times New Roman"/>
                <w:b/>
                <w:i w:val="false"/>
                <w:color w:val="000000"/>
                <w:sz w:val="20"/>
              </w:rPr>
              <w:t>Федерации
</w:t>
            </w:r>
          </w:p>
        </w:tc>
      </w:tr>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 Григорян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 Петкевич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 Жумангарин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 Амангельдиев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Оверчук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Рекомендации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19 ноября 2025 г. № 2</w:t>
            </w:r>
          </w:p>
        </w:tc>
      </w:tr>
    </w:tbl>
    <w:bookmarkStart w:name="z12" w:id="7"/>
    <w:p>
      <w:pPr>
        <w:spacing w:after="0"/>
        <w:ind w:left="0"/>
        <w:jc w:val="left"/>
      </w:pPr>
      <w:r>
        <w:rPr>
          <w:rFonts w:ascii="Times New Roman"/>
          <w:b/>
          <w:i w:val="false"/>
          <w:color w:val="000000"/>
        </w:rPr>
        <w:t xml:space="preserve"> СОГЛАСОВАННЫЕ ПРЕДЛОЖЕНИЯ </w:t>
      </w:r>
      <w:r>
        <w:br/>
      </w:r>
      <w:r>
        <w:rPr>
          <w:rFonts w:ascii="Times New Roman"/>
          <w:b/>
          <w:i w:val="false"/>
          <w:color w:val="000000"/>
        </w:rPr>
        <w:t>по гармонизации законодательства государств – членов Евразийского экономического союза в части основных понятий и определений, используемых в сфере регулирования рынка ценных бумаг</w:t>
      </w:r>
    </w:p>
    <w:bookmarkEnd w:id="7"/>
    <w:bookmarkStart w:name="z13" w:id="8"/>
    <w:p>
      <w:pPr>
        <w:spacing w:after="0"/>
        <w:ind w:left="0"/>
        <w:jc w:val="both"/>
      </w:pPr>
      <w:r>
        <w:rPr>
          <w:rFonts w:ascii="Times New Roman"/>
          <w:b w:val="false"/>
          <w:i w:val="false"/>
          <w:color w:val="000000"/>
          <w:sz w:val="28"/>
        </w:rPr>
        <w:t>
      Государства – члены Евразийского экономического союза в целях осуществления гармонизации своего законодательства договорились, что понятия и определения в сфере регулирования рынка ценных бумаг означают следующее:</w:t>
      </w:r>
    </w:p>
    <w:bookmarkEnd w:id="8"/>
    <w:bookmarkStart w:name="z14" w:id="9"/>
    <w:p>
      <w:pPr>
        <w:spacing w:after="0"/>
        <w:ind w:left="0"/>
        <w:jc w:val="both"/>
      </w:pPr>
      <w:r>
        <w:rPr>
          <w:rFonts w:ascii="Times New Roman"/>
          <w:b w:val="false"/>
          <w:i w:val="false"/>
          <w:color w:val="000000"/>
          <w:sz w:val="28"/>
        </w:rPr>
        <w:t>
      "акция" – эмиссионная ценная бумага, закрепляющая (удостоверяющая)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при его ликвидации;</w:t>
      </w:r>
    </w:p>
    <w:bookmarkEnd w:id="9"/>
    <w:bookmarkStart w:name="z15" w:id="10"/>
    <w:p>
      <w:pPr>
        <w:spacing w:after="0"/>
        <w:ind w:left="0"/>
        <w:jc w:val="both"/>
      </w:pPr>
      <w:r>
        <w:rPr>
          <w:rFonts w:ascii="Times New Roman"/>
          <w:b w:val="false"/>
          <w:i w:val="false"/>
          <w:color w:val="000000"/>
          <w:sz w:val="28"/>
        </w:rPr>
        <w:t>
      "биржа (организатор торговли)" – юридическое лицо, обеспечивающее в соответствии с установленными правилами биржевых торгов (торговли ценными бумагами и (или) другими финансовыми инструментами) и на основании соответствующей лицензии возможность единовременного совершения всех сделок с ценными бумагами и (или) другими финансовыми инструментами, допущенными к торгам, на основании предложений со стороны лиц, допущенных к торгам;</w:t>
      </w:r>
    </w:p>
    <w:bookmarkEnd w:id="10"/>
    <w:bookmarkStart w:name="z16" w:id="11"/>
    <w:p>
      <w:pPr>
        <w:spacing w:after="0"/>
        <w:ind w:left="0"/>
        <w:jc w:val="both"/>
      </w:pPr>
      <w:r>
        <w:rPr>
          <w:rFonts w:ascii="Times New Roman"/>
          <w:b w:val="false"/>
          <w:i w:val="false"/>
          <w:color w:val="000000"/>
          <w:sz w:val="28"/>
        </w:rPr>
        <w:t xml:space="preserve">
      "биржевая деятельность" – деятельность по организации торговли на бирже; </w:t>
      </w:r>
    </w:p>
    <w:bookmarkEnd w:id="11"/>
    <w:bookmarkStart w:name="z17" w:id="12"/>
    <w:p>
      <w:pPr>
        <w:spacing w:after="0"/>
        <w:ind w:left="0"/>
        <w:jc w:val="both"/>
      </w:pPr>
      <w:r>
        <w:rPr>
          <w:rFonts w:ascii="Times New Roman"/>
          <w:b w:val="false"/>
          <w:i w:val="false"/>
          <w:color w:val="000000"/>
          <w:sz w:val="28"/>
        </w:rPr>
        <w:t xml:space="preserve">
      "брокерская деятельность" – деятельность, осуществляемая на основании договоров с клиентами по исполнению их поручений, связанных с совершением гражданско-правовых сделок с ценными бумагами и (или) производными финансовыми инструментами; </w:t>
      </w:r>
    </w:p>
    <w:bookmarkEnd w:id="12"/>
    <w:bookmarkStart w:name="z18" w:id="13"/>
    <w:p>
      <w:pPr>
        <w:spacing w:after="0"/>
        <w:ind w:left="0"/>
        <w:jc w:val="both"/>
      </w:pPr>
      <w:r>
        <w:rPr>
          <w:rFonts w:ascii="Times New Roman"/>
          <w:b w:val="false"/>
          <w:i w:val="false"/>
          <w:color w:val="000000"/>
          <w:sz w:val="28"/>
        </w:rPr>
        <w:t>
      "владелец (держатель) ценных бумаг" – лицо, обладающее правами по бездокументарным ценным бумагам, либо лицо, которому документарные ценные бумаги принадлежат на праве собственности или ином вещном праве;</w:t>
      </w:r>
    </w:p>
    <w:bookmarkEnd w:id="13"/>
    <w:bookmarkStart w:name="z19" w:id="14"/>
    <w:p>
      <w:pPr>
        <w:spacing w:after="0"/>
        <w:ind w:left="0"/>
        <w:jc w:val="both"/>
      </w:pPr>
      <w:r>
        <w:rPr>
          <w:rFonts w:ascii="Times New Roman"/>
          <w:b w:val="false"/>
          <w:i w:val="false"/>
          <w:color w:val="000000"/>
          <w:sz w:val="28"/>
        </w:rPr>
        <w:t xml:space="preserve">
      "депозитарная деятельность" – деятельность по оказанию услуг по учету, хранению и переходу прав на ценные бумаги; </w:t>
      </w:r>
    </w:p>
    <w:bookmarkEnd w:id="14"/>
    <w:bookmarkStart w:name="z20" w:id="15"/>
    <w:p>
      <w:pPr>
        <w:spacing w:after="0"/>
        <w:ind w:left="0"/>
        <w:jc w:val="both"/>
      </w:pPr>
      <w:r>
        <w:rPr>
          <w:rFonts w:ascii="Times New Roman"/>
          <w:b w:val="false"/>
          <w:i w:val="false"/>
          <w:color w:val="000000"/>
          <w:sz w:val="28"/>
        </w:rPr>
        <w:t>
      "деятельность по управлению (доверительному управлению) ценными бумагами (инвестиционным портфелем)" – деятельность по доверительному управлению принадлежащими клиенту ценными бумагами, денежными средствами, предназначенными для инвестиций в ценные бумаги, ценными бумагами и денежными средствами, полученными в результате доверительного управления, осуществляемая от имени управляющего в интересах указанного клиентом выгодоприобретателя;</w:t>
      </w:r>
    </w:p>
    <w:bookmarkEnd w:id="15"/>
    <w:bookmarkStart w:name="z21" w:id="16"/>
    <w:p>
      <w:pPr>
        <w:spacing w:after="0"/>
        <w:ind w:left="0"/>
        <w:jc w:val="both"/>
      </w:pPr>
      <w:r>
        <w:rPr>
          <w:rFonts w:ascii="Times New Roman"/>
          <w:b w:val="false"/>
          <w:i w:val="false"/>
          <w:color w:val="000000"/>
          <w:sz w:val="28"/>
        </w:rPr>
        <w:t>
      "дилерская деятельность" – деятельность по совершению на основании соответствующей лицензии сделок с ценными бумагами и (или) другими финансовыми инструментами от своего имени и за свой счет;</w:t>
      </w:r>
    </w:p>
    <w:bookmarkEnd w:id="16"/>
    <w:bookmarkStart w:name="z22" w:id="17"/>
    <w:p>
      <w:pPr>
        <w:spacing w:after="0"/>
        <w:ind w:left="0"/>
        <w:jc w:val="both"/>
      </w:pPr>
      <w:r>
        <w:rPr>
          <w:rFonts w:ascii="Times New Roman"/>
          <w:b w:val="false"/>
          <w:i w:val="false"/>
          <w:color w:val="000000"/>
          <w:sz w:val="28"/>
        </w:rPr>
        <w:t>
      "клиринг (клиринговая деятельность)" – деятельность по определению обязательств и (или) требований в отношении подлежащих исполнению сделок с ценными бумагами и другими финансовыми инструментами и подготовка документов (информации), являющихся основанием прекращения и (или) исполнения таких обязательств (требований);</w:t>
      </w:r>
    </w:p>
    <w:bookmarkEnd w:id="17"/>
    <w:bookmarkStart w:name="z23" w:id="18"/>
    <w:p>
      <w:pPr>
        <w:spacing w:after="0"/>
        <w:ind w:left="0"/>
        <w:jc w:val="both"/>
      </w:pPr>
      <w:r>
        <w:rPr>
          <w:rFonts w:ascii="Times New Roman"/>
          <w:b w:val="false"/>
          <w:i w:val="false"/>
          <w:color w:val="000000"/>
          <w:sz w:val="28"/>
        </w:rPr>
        <w:t>
      "облигация" – эмиссионная ценная бумага, закрепляющая (удостоверяющая) право ее владельца на получение от эмитента облигации ее номинальной стоимости или иного имущественного эквивалента. Облигация может также предусматривать право ее владельца на получение дохода по ней либо иные имущественные права;</w:t>
      </w:r>
    </w:p>
    <w:bookmarkEnd w:id="18"/>
    <w:bookmarkStart w:name="z24" w:id="19"/>
    <w:p>
      <w:pPr>
        <w:spacing w:after="0"/>
        <w:ind w:left="0"/>
        <w:jc w:val="both"/>
      </w:pPr>
      <w:r>
        <w:rPr>
          <w:rFonts w:ascii="Times New Roman"/>
          <w:b w:val="false"/>
          <w:i w:val="false"/>
          <w:color w:val="000000"/>
          <w:sz w:val="28"/>
        </w:rPr>
        <w:t>
      "реестр владельцев (держателей) ценных бумаг" – совокупность сведений о держателях и владельцах ценных бумаг эмитента на определенную дату;</w:t>
      </w:r>
    </w:p>
    <w:bookmarkEnd w:id="19"/>
    <w:bookmarkStart w:name="z25" w:id="20"/>
    <w:p>
      <w:pPr>
        <w:spacing w:after="0"/>
        <w:ind w:left="0"/>
        <w:jc w:val="both"/>
      </w:pPr>
      <w:r>
        <w:rPr>
          <w:rFonts w:ascii="Times New Roman"/>
          <w:b w:val="false"/>
          <w:i w:val="false"/>
          <w:color w:val="000000"/>
          <w:sz w:val="28"/>
        </w:rPr>
        <w:t>
      "счет депо" – счет для учета ценных бумаг и прав на них;</w:t>
      </w:r>
    </w:p>
    <w:bookmarkEnd w:id="20"/>
    <w:bookmarkStart w:name="z26" w:id="21"/>
    <w:p>
      <w:pPr>
        <w:spacing w:after="0"/>
        <w:ind w:left="0"/>
        <w:jc w:val="both"/>
      </w:pPr>
      <w:r>
        <w:rPr>
          <w:rFonts w:ascii="Times New Roman"/>
          <w:b w:val="false"/>
          <w:i w:val="false"/>
          <w:color w:val="000000"/>
          <w:sz w:val="28"/>
        </w:rPr>
        <w:t xml:space="preserve">
      "центральный депозитарий" – депозитарий (юридическое лицо), которому присвоен статус центрального депозитария или который является центральным депозитарием в соответствии с законодательством государства – члена Евразийского экономического союза; </w:t>
      </w:r>
    </w:p>
    <w:bookmarkEnd w:id="21"/>
    <w:p>
      <w:pPr>
        <w:spacing w:after="0"/>
        <w:ind w:left="0"/>
        <w:jc w:val="both"/>
      </w:pPr>
      <w:bookmarkStart w:name="z27" w:id="22"/>
      <w:r>
        <w:rPr>
          <w:rFonts w:ascii="Times New Roman"/>
          <w:b w:val="false"/>
          <w:i w:val="false"/>
          <w:color w:val="000000"/>
          <w:sz w:val="28"/>
        </w:rPr>
        <w:t xml:space="preserve">
      "центральный контрагент" – юридическое лицо, являющееся в соответствии с законодательством государства – члена Евразийского экономического союза центральным контрагентом, выступающее стороной по сделкам, заключаемым на рынке ценных бумаг, для каждого продавца и каждого покупателя финансового инструмента </w:t>
      </w:r>
    </w:p>
    <w:bookmarkEnd w:id="22"/>
    <w:p>
      <w:pPr>
        <w:spacing w:after="0"/>
        <w:ind w:left="0"/>
        <w:jc w:val="both"/>
      </w:pPr>
      <w:r>
        <w:rPr>
          <w:rFonts w:ascii="Times New Roman"/>
          <w:b w:val="false"/>
          <w:i w:val="false"/>
          <w:color w:val="000000"/>
          <w:sz w:val="28"/>
        </w:rPr>
        <w:t>и обеспечивающее исполнение обязательств по таким сделкам;</w:t>
      </w:r>
    </w:p>
    <w:p>
      <w:pPr>
        <w:spacing w:after="0"/>
        <w:ind w:left="0"/>
        <w:jc w:val="both"/>
      </w:pPr>
      <w:bookmarkStart w:name="z28" w:id="23"/>
      <w:r>
        <w:rPr>
          <w:rFonts w:ascii="Times New Roman"/>
          <w:b w:val="false"/>
          <w:i w:val="false"/>
          <w:color w:val="000000"/>
          <w:sz w:val="28"/>
        </w:rPr>
        <w:t xml:space="preserve">
      "эмитент" – лицо, которое несет от своего имени обязательства </w:t>
      </w:r>
    </w:p>
    <w:bookmarkEnd w:id="23"/>
    <w:p>
      <w:pPr>
        <w:spacing w:after="0"/>
        <w:ind w:left="0"/>
        <w:jc w:val="both"/>
      </w:pPr>
      <w:r>
        <w:rPr>
          <w:rFonts w:ascii="Times New Roman"/>
          <w:b w:val="false"/>
          <w:i w:val="false"/>
          <w:color w:val="000000"/>
          <w:sz w:val="28"/>
        </w:rPr>
        <w:t>по осуществлению прав, закрепленных эмитированными им ценными бумагами, перед их владельцами.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Рекомендации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19 ноября 2025 г. № 2</w:t>
            </w:r>
          </w:p>
        </w:tc>
      </w:tr>
    </w:tbl>
    <w:bookmarkStart w:name="z30" w:id="24"/>
    <w:p>
      <w:pPr>
        <w:spacing w:after="0"/>
        <w:ind w:left="0"/>
        <w:jc w:val="left"/>
      </w:pPr>
      <w:r>
        <w:rPr>
          <w:rFonts w:ascii="Times New Roman"/>
          <w:b/>
          <w:i w:val="false"/>
          <w:color w:val="000000"/>
        </w:rPr>
        <w:t xml:space="preserve"> СОГЛАСОВАННЫЕ ПРЕДЛОЖЕНИЯ </w:t>
      </w:r>
      <w:r>
        <w:br/>
      </w:r>
      <w:r>
        <w:rPr>
          <w:rFonts w:ascii="Times New Roman"/>
          <w:b/>
          <w:i w:val="false"/>
          <w:color w:val="000000"/>
        </w:rPr>
        <w:t xml:space="preserve">по гармонизации законодательства государств – членов Евразийского экономического союза в части установления требований к рыночным посредникам (брокерам) на рынке ценных бумаг </w:t>
      </w:r>
    </w:p>
    <w:bookmarkEnd w:id="24"/>
    <w:bookmarkStart w:name="z31" w:id="25"/>
    <w:p>
      <w:pPr>
        <w:spacing w:after="0"/>
        <w:ind w:left="0"/>
        <w:jc w:val="left"/>
      </w:pPr>
      <w:r>
        <w:rPr>
          <w:rFonts w:ascii="Times New Roman"/>
          <w:b/>
          <w:i w:val="false"/>
          <w:color w:val="000000"/>
        </w:rPr>
        <w:t xml:space="preserve"> 1. Финансовые требования</w:t>
      </w:r>
    </w:p>
    <w:bookmarkEnd w:id="25"/>
    <w:bookmarkStart w:name="z32" w:id="26"/>
    <w:p>
      <w:pPr>
        <w:spacing w:after="0"/>
        <w:ind w:left="0"/>
        <w:jc w:val="left"/>
      </w:pPr>
      <w:r>
        <w:rPr>
          <w:rFonts w:ascii="Times New Roman"/>
          <w:b/>
          <w:i w:val="false"/>
          <w:color w:val="000000"/>
        </w:rPr>
        <w:t xml:space="preserve"> 1.1. Требования к размеру собственных средств</w:t>
      </w:r>
    </w:p>
    <w:bookmarkEnd w:id="26"/>
    <w:bookmarkStart w:name="z33" w:id="27"/>
    <w:p>
      <w:pPr>
        <w:spacing w:after="0"/>
        <w:ind w:left="0"/>
        <w:jc w:val="both"/>
      </w:pPr>
      <w:r>
        <w:rPr>
          <w:rFonts w:ascii="Times New Roman"/>
          <w:b w:val="false"/>
          <w:i w:val="false"/>
          <w:color w:val="000000"/>
          <w:sz w:val="28"/>
        </w:rPr>
        <w:t>
      В целях соблюдения общепризнанных принципов регулирования деятельности рыночных посредников (брокеров) (далее – брокеры) на рынке ценных бумаг (Принцип 29 и Принцип 30 Целей и принципов регулирования рынка ценных бумаг Международной организации комиссий по ценным бумагам (IOSCO OPSR)) законодательством государства – члена Евразийского экономического союза (далее – государство-член) в отношении брокеров должны быть установлены требования к минимальному размеру уставного капитала, собственных средств, а также требования пруденциального характера, соответствующие рискам, принимаемым на себя брокерами. Указанные требования могут варьироваться в соответствии с законодательством государства-члена исходя из видов разрешенных и предусмотренных договорами о брокерском обслуживании операций со средствами клиентов либо видов финансовых инструментов, поручения по которым исполняются в рамках договора о брокерском обслуживании.</w:t>
      </w:r>
    </w:p>
    <w:bookmarkEnd w:id="27"/>
    <w:bookmarkStart w:name="z34" w:id="28"/>
    <w:p>
      <w:pPr>
        <w:spacing w:after="0"/>
        <w:ind w:left="0"/>
        <w:jc w:val="both"/>
      </w:pPr>
      <w:r>
        <w:rPr>
          <w:rFonts w:ascii="Times New Roman"/>
          <w:b w:val="false"/>
          <w:i w:val="false"/>
          <w:color w:val="000000"/>
          <w:sz w:val="28"/>
        </w:rPr>
        <w:t xml:space="preserve">
      Требования к размеру собственных средств брокеров могут быть выражены как в абсолютном денежном выражении, так и в привязке к установленным законодательством государства-члена индикаторам (величинам). </w:t>
      </w:r>
    </w:p>
    <w:bookmarkEnd w:id="28"/>
    <w:bookmarkStart w:name="z35" w:id="29"/>
    <w:p>
      <w:pPr>
        <w:spacing w:after="0"/>
        <w:ind w:left="0"/>
        <w:jc w:val="both"/>
      </w:pPr>
      <w:r>
        <w:rPr>
          <w:rFonts w:ascii="Times New Roman"/>
          <w:b w:val="false"/>
          <w:i w:val="false"/>
          <w:color w:val="000000"/>
          <w:sz w:val="28"/>
        </w:rPr>
        <w:t>
      Законодательством государства-члена в качестве исключительной формы оплаты уставного капитала брокеров может быть установлена оплата только денежными средствами.</w:t>
      </w:r>
    </w:p>
    <w:bookmarkEnd w:id="29"/>
    <w:bookmarkStart w:name="z36" w:id="30"/>
    <w:p>
      <w:pPr>
        <w:spacing w:after="0"/>
        <w:ind w:left="0"/>
        <w:jc w:val="both"/>
      </w:pPr>
      <w:r>
        <w:rPr>
          <w:rFonts w:ascii="Times New Roman"/>
          <w:b w:val="false"/>
          <w:i w:val="false"/>
          <w:color w:val="000000"/>
          <w:sz w:val="28"/>
        </w:rPr>
        <w:t xml:space="preserve">
      Допускается установление требования о соответствии минимального размера собственных средств брокера наибольшей величине данного показателя, установленного законодательством государства-члена для иных видов профессиональной деятельности на рынке ценных бумаг, в случае если брокерская деятельность совмещается с иной профессиональной деятельностью на рынке ценных бумаг. </w:t>
      </w:r>
    </w:p>
    <w:bookmarkEnd w:id="30"/>
    <w:bookmarkStart w:name="z37" w:id="31"/>
    <w:p>
      <w:pPr>
        <w:spacing w:after="0"/>
        <w:ind w:left="0"/>
        <w:jc w:val="left"/>
      </w:pPr>
      <w:r>
        <w:rPr>
          <w:rFonts w:ascii="Times New Roman"/>
          <w:b/>
          <w:i w:val="false"/>
          <w:color w:val="000000"/>
        </w:rPr>
        <w:t xml:space="preserve"> 1.2. Требования к составу и качеству активов и пассивов</w:t>
      </w:r>
    </w:p>
    <w:bookmarkEnd w:id="31"/>
    <w:bookmarkStart w:name="z38" w:id="32"/>
    <w:p>
      <w:pPr>
        <w:spacing w:after="0"/>
        <w:ind w:left="0"/>
        <w:jc w:val="both"/>
      </w:pPr>
      <w:r>
        <w:rPr>
          <w:rFonts w:ascii="Times New Roman"/>
          <w:b w:val="false"/>
          <w:i w:val="false"/>
          <w:color w:val="000000"/>
          <w:sz w:val="28"/>
        </w:rPr>
        <w:t>
      Требования к составу, процентному соотношению и качеству активов и пассивов, используемых при расчете размера собственных средств, устанавливаются законодательством государства-члена.</w:t>
      </w:r>
    </w:p>
    <w:bookmarkEnd w:id="32"/>
    <w:bookmarkStart w:name="z39" w:id="33"/>
    <w:p>
      <w:pPr>
        <w:spacing w:after="0"/>
        <w:ind w:left="0"/>
        <w:jc w:val="both"/>
      </w:pPr>
      <w:r>
        <w:rPr>
          <w:rFonts w:ascii="Times New Roman"/>
          <w:b w:val="false"/>
          <w:i w:val="false"/>
          <w:color w:val="000000"/>
          <w:sz w:val="28"/>
        </w:rPr>
        <w:t>
      Так, в качестве возможных видов активов (ликвидных активов), принимаемых для расчета нормативных показателей достаточности собственных средств, могут быть установлены следующие виды активов брокера:</w:t>
      </w:r>
    </w:p>
    <w:bookmarkEnd w:id="33"/>
    <w:bookmarkStart w:name="z40" w:id="34"/>
    <w:p>
      <w:pPr>
        <w:spacing w:after="0"/>
        <w:ind w:left="0"/>
        <w:jc w:val="both"/>
      </w:pPr>
      <w:r>
        <w:rPr>
          <w:rFonts w:ascii="Times New Roman"/>
          <w:b w:val="false"/>
          <w:i w:val="false"/>
          <w:color w:val="000000"/>
          <w:sz w:val="28"/>
        </w:rPr>
        <w:t>
      основные средства брокера, в том числе в виде недвижимого имущества. При этом может быть предусмотрен допустимый размер доли от стоимости основных средств, принимаемый для расчета;</w:t>
      </w:r>
    </w:p>
    <w:bookmarkEnd w:id="34"/>
    <w:bookmarkStart w:name="z41" w:id="35"/>
    <w:p>
      <w:pPr>
        <w:spacing w:after="0"/>
        <w:ind w:left="0"/>
        <w:jc w:val="both"/>
      </w:pPr>
      <w:r>
        <w:rPr>
          <w:rFonts w:ascii="Times New Roman"/>
          <w:b w:val="false"/>
          <w:i w:val="false"/>
          <w:color w:val="000000"/>
          <w:sz w:val="28"/>
        </w:rPr>
        <w:t>
      денежные средства, денежные вклады (с возможным установлением перечня категорий нахождения и хранения таких средств и вкладов в качестве допустимых);</w:t>
      </w:r>
    </w:p>
    <w:bookmarkEnd w:id="35"/>
    <w:bookmarkStart w:name="z42" w:id="36"/>
    <w:p>
      <w:pPr>
        <w:spacing w:after="0"/>
        <w:ind w:left="0"/>
        <w:jc w:val="both"/>
      </w:pPr>
      <w:r>
        <w:rPr>
          <w:rFonts w:ascii="Times New Roman"/>
          <w:b w:val="false"/>
          <w:i w:val="false"/>
          <w:color w:val="000000"/>
          <w:sz w:val="28"/>
        </w:rPr>
        <w:t>
      долговые ценные бумаги (с возможным установлением перечня допустимых категорий эмитентов либо конкретных эмитентов);</w:t>
      </w:r>
    </w:p>
    <w:bookmarkEnd w:id="36"/>
    <w:bookmarkStart w:name="z43" w:id="37"/>
    <w:p>
      <w:pPr>
        <w:spacing w:after="0"/>
        <w:ind w:left="0"/>
        <w:jc w:val="both"/>
      </w:pPr>
      <w:r>
        <w:rPr>
          <w:rFonts w:ascii="Times New Roman"/>
          <w:b w:val="false"/>
          <w:i w:val="false"/>
          <w:color w:val="000000"/>
          <w:sz w:val="28"/>
        </w:rPr>
        <w:t>
      акции, депозитарные расписки (с возможным установлением перечня допустимых категорий эмитентов либо конкретных эмитентов);</w:t>
      </w:r>
    </w:p>
    <w:bookmarkEnd w:id="37"/>
    <w:bookmarkStart w:name="z44" w:id="38"/>
    <w:p>
      <w:pPr>
        <w:spacing w:after="0"/>
        <w:ind w:left="0"/>
        <w:jc w:val="both"/>
      </w:pPr>
      <w:r>
        <w:rPr>
          <w:rFonts w:ascii="Times New Roman"/>
          <w:b w:val="false"/>
          <w:i w:val="false"/>
          <w:color w:val="000000"/>
          <w:sz w:val="28"/>
        </w:rPr>
        <w:t>
      инвестиционные паи;</w:t>
      </w:r>
    </w:p>
    <w:bookmarkEnd w:id="38"/>
    <w:bookmarkStart w:name="z45" w:id="39"/>
    <w:p>
      <w:pPr>
        <w:spacing w:after="0"/>
        <w:ind w:left="0"/>
        <w:jc w:val="both"/>
      </w:pPr>
      <w:r>
        <w:rPr>
          <w:rFonts w:ascii="Times New Roman"/>
          <w:b w:val="false"/>
          <w:i w:val="false"/>
          <w:color w:val="000000"/>
          <w:sz w:val="28"/>
        </w:rPr>
        <w:t>
      иные виды ценных бумаг;</w:t>
      </w:r>
    </w:p>
    <w:bookmarkEnd w:id="39"/>
    <w:bookmarkStart w:name="z46" w:id="40"/>
    <w:p>
      <w:pPr>
        <w:spacing w:after="0"/>
        <w:ind w:left="0"/>
        <w:jc w:val="both"/>
      </w:pPr>
      <w:r>
        <w:rPr>
          <w:rFonts w:ascii="Times New Roman"/>
          <w:b w:val="false"/>
          <w:i w:val="false"/>
          <w:color w:val="000000"/>
          <w:sz w:val="28"/>
        </w:rPr>
        <w:t>
      дебиторская задолженность;</w:t>
      </w:r>
    </w:p>
    <w:bookmarkEnd w:id="40"/>
    <w:bookmarkStart w:name="z47" w:id="41"/>
    <w:p>
      <w:pPr>
        <w:spacing w:after="0"/>
        <w:ind w:left="0"/>
        <w:jc w:val="both"/>
      </w:pPr>
      <w:r>
        <w:rPr>
          <w:rFonts w:ascii="Times New Roman"/>
          <w:b w:val="false"/>
          <w:i w:val="false"/>
          <w:color w:val="000000"/>
          <w:sz w:val="28"/>
        </w:rPr>
        <w:t>
      аффинированные драгоценные металлы, металлические депозиты;</w:t>
      </w:r>
    </w:p>
    <w:bookmarkEnd w:id="41"/>
    <w:bookmarkStart w:name="z48" w:id="42"/>
    <w:p>
      <w:pPr>
        <w:spacing w:after="0"/>
        <w:ind w:left="0"/>
        <w:jc w:val="both"/>
      </w:pPr>
      <w:r>
        <w:rPr>
          <w:rFonts w:ascii="Times New Roman"/>
          <w:b w:val="false"/>
          <w:i w:val="false"/>
          <w:color w:val="000000"/>
          <w:sz w:val="28"/>
        </w:rPr>
        <w:t>
      иные виды активов.</w:t>
      </w:r>
    </w:p>
    <w:bookmarkEnd w:id="42"/>
    <w:p>
      <w:pPr>
        <w:spacing w:after="0"/>
        <w:ind w:left="0"/>
        <w:jc w:val="both"/>
      </w:pPr>
      <w:bookmarkStart w:name="z49" w:id="43"/>
      <w:r>
        <w:rPr>
          <w:rFonts w:ascii="Times New Roman"/>
          <w:b w:val="false"/>
          <w:i w:val="false"/>
          <w:color w:val="000000"/>
          <w:sz w:val="28"/>
        </w:rPr>
        <w:t xml:space="preserve">
      Законодательством государства-члена может быть установлен перечень активов, исключаемых из расчета нормативных показателей достаточности собственных средств. Также допускается установление условий, которым должны соответствовать активы брокера для </w:t>
      </w:r>
    </w:p>
    <w:bookmarkEnd w:id="43"/>
    <w:p>
      <w:pPr>
        <w:spacing w:after="0"/>
        <w:ind w:left="0"/>
        <w:jc w:val="both"/>
      </w:pPr>
      <w:r>
        <w:rPr>
          <w:rFonts w:ascii="Times New Roman"/>
          <w:b w:val="false"/>
          <w:i w:val="false"/>
          <w:color w:val="000000"/>
          <w:sz w:val="28"/>
        </w:rPr>
        <w:t>их включения в расчет.</w:t>
      </w:r>
    </w:p>
    <w:bookmarkStart w:name="z50" w:id="44"/>
    <w:p>
      <w:pPr>
        <w:spacing w:after="0"/>
        <w:ind w:left="0"/>
        <w:jc w:val="both"/>
      </w:pPr>
      <w:r>
        <w:rPr>
          <w:rFonts w:ascii="Times New Roman"/>
          <w:b w:val="false"/>
          <w:i w:val="false"/>
          <w:color w:val="000000"/>
          <w:sz w:val="28"/>
        </w:rPr>
        <w:t xml:space="preserve">
      Обязательным требованием является установление в законодательстве государства-члена механизма определения стоимости, по которой активы и пассивы брокера принимаются для расчета нормативных показателей достаточности собственных средств. </w:t>
      </w:r>
    </w:p>
    <w:bookmarkEnd w:id="44"/>
    <w:bookmarkStart w:name="z51" w:id="45"/>
    <w:p>
      <w:pPr>
        <w:spacing w:after="0"/>
        <w:ind w:left="0"/>
        <w:jc w:val="left"/>
      </w:pPr>
      <w:r>
        <w:rPr>
          <w:rFonts w:ascii="Times New Roman"/>
          <w:b/>
          <w:i w:val="false"/>
          <w:color w:val="000000"/>
        </w:rPr>
        <w:t xml:space="preserve"> 1.3. Страхование профессиональной ответственности</w:t>
      </w:r>
    </w:p>
    <w:bookmarkEnd w:id="45"/>
    <w:bookmarkStart w:name="z52" w:id="46"/>
    <w:p>
      <w:pPr>
        <w:spacing w:after="0"/>
        <w:ind w:left="0"/>
        <w:jc w:val="both"/>
      </w:pPr>
      <w:r>
        <w:rPr>
          <w:rFonts w:ascii="Times New Roman"/>
          <w:b w:val="false"/>
          <w:i w:val="false"/>
          <w:color w:val="000000"/>
          <w:sz w:val="28"/>
        </w:rPr>
        <w:t>
      Законодательством государства-члена допускается установление возможности страхования брокером риска ответственности за нарушение договора, заключенного в связи с осуществлением им профессиональной деятельности на рынке ценных бумаг.</w:t>
      </w:r>
    </w:p>
    <w:bookmarkEnd w:id="46"/>
    <w:bookmarkStart w:name="z53" w:id="47"/>
    <w:p>
      <w:pPr>
        <w:spacing w:after="0"/>
        <w:ind w:left="0"/>
        <w:jc w:val="left"/>
      </w:pPr>
      <w:r>
        <w:rPr>
          <w:rFonts w:ascii="Times New Roman"/>
          <w:b/>
          <w:i w:val="false"/>
          <w:color w:val="000000"/>
        </w:rPr>
        <w:t xml:space="preserve"> 1.4. Пруденциальные нормативы</w:t>
      </w:r>
    </w:p>
    <w:bookmarkEnd w:id="47"/>
    <w:bookmarkStart w:name="z54" w:id="48"/>
    <w:p>
      <w:pPr>
        <w:spacing w:after="0"/>
        <w:ind w:left="0"/>
        <w:jc w:val="both"/>
      </w:pPr>
      <w:r>
        <w:rPr>
          <w:rFonts w:ascii="Times New Roman"/>
          <w:b w:val="false"/>
          <w:i w:val="false"/>
          <w:color w:val="000000"/>
          <w:sz w:val="28"/>
        </w:rPr>
        <w:t xml:space="preserve">
      Законодательством государства-члена устанавливаются требования по соблюдению брокерами пруденциальных нормативов в отношении: </w:t>
      </w:r>
    </w:p>
    <w:bookmarkEnd w:id="48"/>
    <w:bookmarkStart w:name="z55" w:id="49"/>
    <w:p>
      <w:pPr>
        <w:spacing w:after="0"/>
        <w:ind w:left="0"/>
        <w:jc w:val="both"/>
      </w:pPr>
      <w:r>
        <w:rPr>
          <w:rFonts w:ascii="Times New Roman"/>
          <w:b w:val="false"/>
          <w:i w:val="false"/>
          <w:color w:val="000000"/>
          <w:sz w:val="28"/>
        </w:rPr>
        <w:t>
      минимального размера собственных средств;</w:t>
      </w:r>
    </w:p>
    <w:bookmarkEnd w:id="49"/>
    <w:bookmarkStart w:name="z56" w:id="50"/>
    <w:p>
      <w:pPr>
        <w:spacing w:after="0"/>
        <w:ind w:left="0"/>
        <w:jc w:val="both"/>
      </w:pPr>
      <w:r>
        <w:rPr>
          <w:rFonts w:ascii="Times New Roman"/>
          <w:b w:val="false"/>
          <w:i w:val="false"/>
          <w:color w:val="000000"/>
          <w:sz w:val="28"/>
        </w:rPr>
        <w:t xml:space="preserve">
      показателей достаточности собственных средств; </w:t>
      </w:r>
    </w:p>
    <w:bookmarkEnd w:id="50"/>
    <w:bookmarkStart w:name="z57" w:id="51"/>
    <w:p>
      <w:pPr>
        <w:spacing w:after="0"/>
        <w:ind w:left="0"/>
        <w:jc w:val="both"/>
      </w:pPr>
      <w:r>
        <w:rPr>
          <w:rFonts w:ascii="Times New Roman"/>
          <w:b w:val="false"/>
          <w:i w:val="false"/>
          <w:color w:val="000000"/>
          <w:sz w:val="28"/>
        </w:rPr>
        <w:t xml:space="preserve">
      показателей (коэффициентов) ликвидности (платежеспособности). </w:t>
      </w:r>
    </w:p>
    <w:bookmarkEnd w:id="51"/>
    <w:bookmarkStart w:name="z58" w:id="52"/>
    <w:p>
      <w:pPr>
        <w:spacing w:after="0"/>
        <w:ind w:left="0"/>
        <w:jc w:val="both"/>
      </w:pPr>
      <w:r>
        <w:rPr>
          <w:rFonts w:ascii="Times New Roman"/>
          <w:b w:val="false"/>
          <w:i w:val="false"/>
          <w:color w:val="000000"/>
          <w:sz w:val="28"/>
        </w:rPr>
        <w:t>
      Также могут быть установлены требования в отношении:</w:t>
      </w:r>
    </w:p>
    <w:bookmarkEnd w:id="52"/>
    <w:bookmarkStart w:name="z59" w:id="53"/>
    <w:p>
      <w:pPr>
        <w:spacing w:after="0"/>
        <w:ind w:left="0"/>
        <w:jc w:val="both"/>
      </w:pPr>
      <w:r>
        <w:rPr>
          <w:rFonts w:ascii="Times New Roman"/>
          <w:b w:val="false"/>
          <w:i w:val="false"/>
          <w:color w:val="000000"/>
          <w:sz w:val="28"/>
        </w:rPr>
        <w:t>
      своевременного погашения обязательств брокера по платежам в бюджет, перед кредиторами;</w:t>
      </w:r>
    </w:p>
    <w:bookmarkEnd w:id="53"/>
    <w:bookmarkStart w:name="z60" w:id="54"/>
    <w:p>
      <w:pPr>
        <w:spacing w:after="0"/>
        <w:ind w:left="0"/>
        <w:jc w:val="both"/>
      </w:pPr>
      <w:r>
        <w:rPr>
          <w:rFonts w:ascii="Times New Roman"/>
          <w:b w:val="false"/>
          <w:i w:val="false"/>
          <w:color w:val="000000"/>
          <w:sz w:val="28"/>
        </w:rPr>
        <w:t>
      соотношения заемных и собственных средств;</w:t>
      </w:r>
    </w:p>
    <w:bookmarkEnd w:id="54"/>
    <w:bookmarkStart w:name="z61" w:id="55"/>
    <w:p>
      <w:pPr>
        <w:spacing w:after="0"/>
        <w:ind w:left="0"/>
        <w:jc w:val="both"/>
      </w:pPr>
      <w:r>
        <w:rPr>
          <w:rFonts w:ascii="Times New Roman"/>
          <w:b w:val="false"/>
          <w:i w:val="false"/>
          <w:color w:val="000000"/>
          <w:sz w:val="28"/>
        </w:rPr>
        <w:t>
      обеспеченности собственными оборотными средствами;</w:t>
      </w:r>
    </w:p>
    <w:bookmarkEnd w:id="55"/>
    <w:bookmarkStart w:name="z62" w:id="56"/>
    <w:p>
      <w:pPr>
        <w:spacing w:after="0"/>
        <w:ind w:left="0"/>
        <w:jc w:val="both"/>
      </w:pPr>
      <w:r>
        <w:rPr>
          <w:rFonts w:ascii="Times New Roman"/>
          <w:b w:val="false"/>
          <w:i w:val="false"/>
          <w:color w:val="000000"/>
          <w:sz w:val="28"/>
        </w:rPr>
        <w:t xml:space="preserve">
      иных показателей. </w:t>
      </w:r>
    </w:p>
    <w:bookmarkEnd w:id="56"/>
    <w:bookmarkStart w:name="z63" w:id="57"/>
    <w:p>
      <w:pPr>
        <w:spacing w:after="0"/>
        <w:ind w:left="0"/>
        <w:jc w:val="left"/>
      </w:pPr>
      <w:r>
        <w:rPr>
          <w:rFonts w:ascii="Times New Roman"/>
          <w:b/>
          <w:i w:val="false"/>
          <w:color w:val="000000"/>
        </w:rPr>
        <w:t xml:space="preserve"> 2. Требования к системе управления рисками</w:t>
      </w:r>
    </w:p>
    <w:bookmarkEnd w:id="57"/>
    <w:bookmarkStart w:name="z64" w:id="58"/>
    <w:p>
      <w:pPr>
        <w:spacing w:after="0"/>
        <w:ind w:left="0"/>
        <w:jc w:val="both"/>
      </w:pPr>
      <w:r>
        <w:rPr>
          <w:rFonts w:ascii="Times New Roman"/>
          <w:b w:val="false"/>
          <w:i w:val="false"/>
          <w:color w:val="000000"/>
          <w:sz w:val="28"/>
        </w:rPr>
        <w:t xml:space="preserve">
      В целях соблюдения общепризнанных принципов регулирования деятельности брокеров на рынке ценных бумаг (Принцип 31 Целей и принципов регулирования рынка ценных бумаг Международной организации комиссий по ценным бумагам (IOSCO OPSR)) государства-члены должны стремиться к установлению в законодательстве требований по созданию систем управления рисками, внутреннего контроля профессиональной деятельности (далее – внутренний контроль). </w:t>
      </w:r>
    </w:p>
    <w:bookmarkEnd w:id="58"/>
    <w:bookmarkStart w:name="z65" w:id="59"/>
    <w:p>
      <w:pPr>
        <w:spacing w:after="0"/>
        <w:ind w:left="0"/>
        <w:jc w:val="left"/>
      </w:pPr>
      <w:r>
        <w:rPr>
          <w:rFonts w:ascii="Times New Roman"/>
          <w:b/>
          <w:i w:val="false"/>
          <w:color w:val="000000"/>
        </w:rPr>
        <w:t xml:space="preserve"> 2.1. Виды деятельности на рынке ценных бумаг, совмещение с которыми допустимо</w:t>
      </w:r>
    </w:p>
    <w:bookmarkEnd w:id="59"/>
    <w:bookmarkStart w:name="z66" w:id="60"/>
    <w:p>
      <w:pPr>
        <w:spacing w:after="0"/>
        <w:ind w:left="0"/>
        <w:jc w:val="both"/>
      </w:pPr>
      <w:r>
        <w:rPr>
          <w:rFonts w:ascii="Times New Roman"/>
          <w:b w:val="false"/>
          <w:i w:val="false"/>
          <w:color w:val="000000"/>
          <w:sz w:val="28"/>
        </w:rPr>
        <w:t>
      Законодательством государства-члена устанавливаются перечень видов деятельности на финансовом рынке, с которыми допускается совмещение брокерской деятельности, а также правила и условия такого совмещения.</w:t>
      </w:r>
    </w:p>
    <w:bookmarkEnd w:id="60"/>
    <w:bookmarkStart w:name="z67" w:id="61"/>
    <w:p>
      <w:pPr>
        <w:spacing w:after="0"/>
        <w:ind w:left="0"/>
        <w:jc w:val="both"/>
      </w:pPr>
      <w:r>
        <w:rPr>
          <w:rFonts w:ascii="Times New Roman"/>
          <w:b w:val="false"/>
          <w:i w:val="false"/>
          <w:color w:val="000000"/>
          <w:sz w:val="28"/>
        </w:rPr>
        <w:t xml:space="preserve">
      Законодательством государства-члена могут устанавливаться ограничения в отношении совмещения брокерской деятельности (включая различные виды брокерской деятельности исходя из видов финансовых инструментов или разрешенных операций со средствами клиентов) с иными видами деятельности на рынке ценных бумаг. </w:t>
      </w:r>
    </w:p>
    <w:bookmarkEnd w:id="61"/>
    <w:bookmarkStart w:name="z68" w:id="62"/>
    <w:p>
      <w:pPr>
        <w:spacing w:after="0"/>
        <w:ind w:left="0"/>
        <w:jc w:val="left"/>
      </w:pPr>
      <w:r>
        <w:rPr>
          <w:rFonts w:ascii="Times New Roman"/>
          <w:b/>
          <w:i w:val="false"/>
          <w:color w:val="000000"/>
        </w:rPr>
        <w:t xml:space="preserve"> 2.2. Требования к наличию систем управления рисками и внутреннего контроля </w:t>
      </w:r>
    </w:p>
    <w:bookmarkEnd w:id="62"/>
    <w:bookmarkStart w:name="z69" w:id="63"/>
    <w:p>
      <w:pPr>
        <w:spacing w:after="0"/>
        <w:ind w:left="0"/>
        <w:jc w:val="both"/>
      </w:pPr>
      <w:r>
        <w:rPr>
          <w:rFonts w:ascii="Times New Roman"/>
          <w:b w:val="false"/>
          <w:i w:val="false"/>
          <w:color w:val="000000"/>
          <w:sz w:val="28"/>
        </w:rPr>
        <w:t>
      Законодательством государства-члена устанавливаются требования в отношении наличия у брокера, в зависимости от характера и масштаба совершаемых им операций, видов разрешенных операций со средствами клиентов, видов финансовых инструментов, поручения по которым исполняются в рамках договоров о брокерском обслуживании, а также от уровня и сочетания принимаемых рисков, систем управления рисками и внутреннего контроля, обеспечивающих мониторинг, оценку, исчисление, контроль рисков и управление ими.</w:t>
      </w:r>
    </w:p>
    <w:bookmarkEnd w:id="63"/>
    <w:bookmarkStart w:name="z70" w:id="64"/>
    <w:p>
      <w:pPr>
        <w:spacing w:after="0"/>
        <w:ind w:left="0"/>
        <w:jc w:val="both"/>
      </w:pPr>
      <w:r>
        <w:rPr>
          <w:rFonts w:ascii="Times New Roman"/>
          <w:b w:val="false"/>
          <w:i w:val="false"/>
          <w:color w:val="000000"/>
          <w:sz w:val="28"/>
        </w:rPr>
        <w:t xml:space="preserve">
      Указанные системы должны обеспечивать непрерывность осуществления профессиональной деятельности, ее эффективность и результативность, достижение стратегических и операционных целей брокера, достоверность бухгалтерской (финансовой) отчетности, соблюдение требований, предусмотренных законодательством государства-члена, а также внутренними документами и процедурами. </w:t>
      </w:r>
    </w:p>
    <w:bookmarkEnd w:id="64"/>
    <w:bookmarkStart w:name="z71" w:id="65"/>
    <w:p>
      <w:pPr>
        <w:spacing w:after="0"/>
        <w:ind w:left="0"/>
        <w:jc w:val="both"/>
      </w:pPr>
      <w:r>
        <w:rPr>
          <w:rFonts w:ascii="Times New Roman"/>
          <w:b w:val="false"/>
          <w:i w:val="false"/>
          <w:color w:val="000000"/>
          <w:sz w:val="28"/>
        </w:rPr>
        <w:t xml:space="preserve">
      Законодательством государства-члена устанавливается, что заключение брокером договора (установление деловых отношений) с клиентом возможно только после принятия мер по идентификации этого клиента, его представителя, выгодоприобретателя и бенефициарного владельца в соответствии с законодательством государства-члена. </w:t>
      </w:r>
    </w:p>
    <w:bookmarkEnd w:id="65"/>
    <w:bookmarkStart w:name="z72" w:id="66"/>
    <w:p>
      <w:pPr>
        <w:spacing w:after="0"/>
        <w:ind w:left="0"/>
        <w:jc w:val="left"/>
      </w:pPr>
      <w:r>
        <w:rPr>
          <w:rFonts w:ascii="Times New Roman"/>
          <w:b/>
          <w:i w:val="false"/>
          <w:color w:val="000000"/>
        </w:rPr>
        <w:t xml:space="preserve"> 2.3. Требования к системе управления рисками </w:t>
      </w:r>
    </w:p>
    <w:bookmarkEnd w:id="66"/>
    <w:bookmarkStart w:name="z73" w:id="67"/>
    <w:p>
      <w:pPr>
        <w:spacing w:after="0"/>
        <w:ind w:left="0"/>
        <w:jc w:val="both"/>
      </w:pPr>
      <w:r>
        <w:rPr>
          <w:rFonts w:ascii="Times New Roman"/>
          <w:b w:val="false"/>
          <w:i w:val="false"/>
          <w:color w:val="000000"/>
          <w:sz w:val="28"/>
        </w:rPr>
        <w:t>
      Система управления рисками брокеров может предусматривать:</w:t>
      </w:r>
    </w:p>
    <w:bookmarkEnd w:id="67"/>
    <w:bookmarkStart w:name="z74" w:id="68"/>
    <w:p>
      <w:pPr>
        <w:spacing w:after="0"/>
        <w:ind w:left="0"/>
        <w:jc w:val="both"/>
      </w:pPr>
      <w:r>
        <w:rPr>
          <w:rFonts w:ascii="Times New Roman"/>
          <w:b w:val="false"/>
          <w:i w:val="false"/>
          <w:color w:val="000000"/>
          <w:sz w:val="28"/>
        </w:rPr>
        <w:t>
      создание в организационной структуре брокера подразделения по управлению рисками, не участвующего в осуществлении иных видов деятельности брокера;</w:t>
      </w:r>
    </w:p>
    <w:bookmarkEnd w:id="68"/>
    <w:bookmarkStart w:name="z75" w:id="69"/>
    <w:p>
      <w:pPr>
        <w:spacing w:after="0"/>
        <w:ind w:left="0"/>
        <w:jc w:val="both"/>
      </w:pPr>
      <w:r>
        <w:rPr>
          <w:rFonts w:ascii="Times New Roman"/>
          <w:b w:val="false"/>
          <w:i w:val="false"/>
          <w:color w:val="000000"/>
          <w:sz w:val="28"/>
        </w:rPr>
        <w:t>
      полномочия и функциональные обязанности органов (подразделений) брокеров, осуществляющих управление рисками;</w:t>
      </w:r>
    </w:p>
    <w:bookmarkEnd w:id="69"/>
    <w:bookmarkStart w:name="z76" w:id="70"/>
    <w:p>
      <w:pPr>
        <w:spacing w:after="0"/>
        <w:ind w:left="0"/>
        <w:jc w:val="both"/>
      </w:pPr>
      <w:r>
        <w:rPr>
          <w:rFonts w:ascii="Times New Roman"/>
          <w:b w:val="false"/>
          <w:i w:val="false"/>
          <w:color w:val="000000"/>
          <w:sz w:val="28"/>
        </w:rPr>
        <w:t>
      внутренние политики и процедуры по управлению рисками;</w:t>
      </w:r>
    </w:p>
    <w:bookmarkEnd w:id="70"/>
    <w:bookmarkStart w:name="z77" w:id="71"/>
    <w:p>
      <w:pPr>
        <w:spacing w:after="0"/>
        <w:ind w:left="0"/>
        <w:jc w:val="both"/>
      </w:pPr>
      <w:r>
        <w:rPr>
          <w:rFonts w:ascii="Times New Roman"/>
          <w:b w:val="false"/>
          <w:i w:val="false"/>
          <w:color w:val="000000"/>
          <w:sz w:val="28"/>
        </w:rPr>
        <w:t>
      лимиты на допустимый размер рисков (в том числе по отдельности – исходя из видов совершаемых операций);</w:t>
      </w:r>
    </w:p>
    <w:bookmarkEnd w:id="71"/>
    <w:bookmarkStart w:name="z78" w:id="72"/>
    <w:p>
      <w:pPr>
        <w:spacing w:after="0"/>
        <w:ind w:left="0"/>
        <w:jc w:val="both"/>
      </w:pPr>
      <w:r>
        <w:rPr>
          <w:rFonts w:ascii="Times New Roman"/>
          <w:b w:val="false"/>
          <w:i w:val="false"/>
          <w:color w:val="000000"/>
          <w:sz w:val="28"/>
        </w:rPr>
        <w:t>
      описание и регламентацию процедур стресс-тестирований по рискам;</w:t>
      </w:r>
    </w:p>
    <w:bookmarkEnd w:id="72"/>
    <w:bookmarkStart w:name="z79" w:id="73"/>
    <w:p>
      <w:pPr>
        <w:spacing w:after="0"/>
        <w:ind w:left="0"/>
        <w:jc w:val="both"/>
      </w:pPr>
      <w:r>
        <w:rPr>
          <w:rFonts w:ascii="Times New Roman"/>
          <w:b w:val="false"/>
          <w:i w:val="false"/>
          <w:color w:val="000000"/>
          <w:sz w:val="28"/>
        </w:rPr>
        <w:t>
      внутренние процедуры представления отчетности по управлению рисками, обеспечивающие своевременное доведение необходимой информации до сведения уполномоченных органов (подразделений) брокера;</w:t>
      </w:r>
    </w:p>
    <w:bookmarkEnd w:id="73"/>
    <w:bookmarkStart w:name="z80" w:id="74"/>
    <w:p>
      <w:pPr>
        <w:spacing w:after="0"/>
        <w:ind w:left="0"/>
        <w:jc w:val="both"/>
      </w:pPr>
      <w:r>
        <w:rPr>
          <w:rFonts w:ascii="Times New Roman"/>
          <w:b w:val="false"/>
          <w:i w:val="false"/>
          <w:color w:val="000000"/>
          <w:sz w:val="28"/>
        </w:rPr>
        <w:t>
      мероприятия по снижению уровня рисков;</w:t>
      </w:r>
    </w:p>
    <w:bookmarkEnd w:id="74"/>
    <w:bookmarkStart w:name="z81" w:id="75"/>
    <w:p>
      <w:pPr>
        <w:spacing w:after="0"/>
        <w:ind w:left="0"/>
        <w:jc w:val="both"/>
      </w:pPr>
      <w:r>
        <w:rPr>
          <w:rFonts w:ascii="Times New Roman"/>
          <w:b w:val="false"/>
          <w:i w:val="false"/>
          <w:color w:val="000000"/>
          <w:sz w:val="28"/>
        </w:rPr>
        <w:t>
      последствия для брокера, наступление которых при реализации риска свидетельствует о значимости такого риска, в том числе:</w:t>
      </w:r>
    </w:p>
    <w:bookmarkEnd w:id="75"/>
    <w:bookmarkStart w:name="z82" w:id="76"/>
    <w:p>
      <w:pPr>
        <w:spacing w:after="0"/>
        <w:ind w:left="0"/>
        <w:jc w:val="both"/>
      </w:pPr>
      <w:r>
        <w:rPr>
          <w:rFonts w:ascii="Times New Roman"/>
          <w:b w:val="false"/>
          <w:i w:val="false"/>
          <w:color w:val="000000"/>
          <w:sz w:val="28"/>
        </w:rPr>
        <w:t>
      снижение собственных средств ниже установленного размера;</w:t>
      </w:r>
    </w:p>
    <w:bookmarkEnd w:id="76"/>
    <w:bookmarkStart w:name="z83" w:id="77"/>
    <w:p>
      <w:pPr>
        <w:spacing w:after="0"/>
        <w:ind w:left="0"/>
        <w:jc w:val="both"/>
      </w:pPr>
      <w:r>
        <w:rPr>
          <w:rFonts w:ascii="Times New Roman"/>
          <w:b w:val="false"/>
          <w:i w:val="false"/>
          <w:color w:val="000000"/>
          <w:sz w:val="28"/>
        </w:rPr>
        <w:t>
      наступление оснований для применения мер по предупреждению банкротства;</w:t>
      </w:r>
    </w:p>
    <w:bookmarkEnd w:id="77"/>
    <w:bookmarkStart w:name="z84" w:id="78"/>
    <w:p>
      <w:pPr>
        <w:spacing w:after="0"/>
        <w:ind w:left="0"/>
        <w:jc w:val="both"/>
      </w:pPr>
      <w:r>
        <w:rPr>
          <w:rFonts w:ascii="Times New Roman"/>
          <w:b w:val="false"/>
          <w:i w:val="false"/>
          <w:color w:val="000000"/>
          <w:sz w:val="28"/>
        </w:rPr>
        <w:t>
      наступление оснований для аннулирования (приостановления или отзыва) лицензии, исключения из соответствующего реестра;</w:t>
      </w:r>
    </w:p>
    <w:bookmarkEnd w:id="78"/>
    <w:bookmarkStart w:name="z85" w:id="79"/>
    <w:p>
      <w:pPr>
        <w:spacing w:after="0"/>
        <w:ind w:left="0"/>
        <w:jc w:val="both"/>
      </w:pPr>
      <w:r>
        <w:rPr>
          <w:rFonts w:ascii="Times New Roman"/>
          <w:b w:val="false"/>
          <w:i w:val="false"/>
          <w:color w:val="000000"/>
          <w:sz w:val="28"/>
        </w:rPr>
        <w:t>
      иные последствия исходя из внутренних критериев оценки эффективности системы управления рисками брокера.</w:t>
      </w:r>
    </w:p>
    <w:bookmarkEnd w:id="79"/>
    <w:bookmarkStart w:name="z86" w:id="80"/>
    <w:p>
      <w:pPr>
        <w:spacing w:after="0"/>
        <w:ind w:left="0"/>
        <w:jc w:val="left"/>
      </w:pPr>
      <w:r>
        <w:rPr>
          <w:rFonts w:ascii="Times New Roman"/>
          <w:b/>
          <w:i w:val="false"/>
          <w:color w:val="000000"/>
        </w:rPr>
        <w:t xml:space="preserve"> 2.4. Требования к системе внутреннего контроля </w:t>
      </w:r>
    </w:p>
    <w:bookmarkEnd w:id="80"/>
    <w:bookmarkStart w:name="z87" w:id="81"/>
    <w:p>
      <w:pPr>
        <w:spacing w:after="0"/>
        <w:ind w:left="0"/>
        <w:jc w:val="both"/>
      </w:pPr>
      <w:r>
        <w:rPr>
          <w:rFonts w:ascii="Times New Roman"/>
          <w:b w:val="false"/>
          <w:i w:val="false"/>
          <w:color w:val="000000"/>
          <w:sz w:val="28"/>
        </w:rPr>
        <w:t>
      Система внутреннего контроля брокеров может предусматривать:</w:t>
      </w:r>
    </w:p>
    <w:bookmarkEnd w:id="81"/>
    <w:bookmarkStart w:name="z88" w:id="82"/>
    <w:p>
      <w:pPr>
        <w:spacing w:after="0"/>
        <w:ind w:left="0"/>
        <w:jc w:val="both"/>
      </w:pPr>
      <w:r>
        <w:rPr>
          <w:rFonts w:ascii="Times New Roman"/>
          <w:b w:val="false"/>
          <w:i w:val="false"/>
          <w:color w:val="000000"/>
          <w:sz w:val="28"/>
        </w:rPr>
        <w:t>
      создание в организационной структуре брокера подразделения по внутреннему контролю, не участвующего в осуществлении иных видов деятельности брокера;</w:t>
      </w:r>
    </w:p>
    <w:bookmarkEnd w:id="82"/>
    <w:bookmarkStart w:name="z89" w:id="83"/>
    <w:p>
      <w:pPr>
        <w:spacing w:after="0"/>
        <w:ind w:left="0"/>
        <w:jc w:val="both"/>
      </w:pPr>
      <w:r>
        <w:rPr>
          <w:rFonts w:ascii="Times New Roman"/>
          <w:b w:val="false"/>
          <w:i w:val="false"/>
          <w:color w:val="000000"/>
          <w:sz w:val="28"/>
        </w:rPr>
        <w:t>
      полномочия и функциональные обязанности органов (подразделений) брокеров, осуществляющих внутренний контроль;</w:t>
      </w:r>
    </w:p>
    <w:bookmarkEnd w:id="83"/>
    <w:bookmarkStart w:name="z90" w:id="84"/>
    <w:p>
      <w:pPr>
        <w:spacing w:after="0"/>
        <w:ind w:left="0"/>
        <w:jc w:val="both"/>
      </w:pPr>
      <w:r>
        <w:rPr>
          <w:rFonts w:ascii="Times New Roman"/>
          <w:b w:val="false"/>
          <w:i w:val="false"/>
          <w:color w:val="000000"/>
          <w:sz w:val="28"/>
        </w:rPr>
        <w:t>
      внутренние политики и процедуры по внутреннему контролю;</w:t>
      </w:r>
    </w:p>
    <w:bookmarkEnd w:id="84"/>
    <w:bookmarkStart w:name="z91" w:id="85"/>
    <w:p>
      <w:pPr>
        <w:spacing w:after="0"/>
        <w:ind w:left="0"/>
        <w:jc w:val="both"/>
      </w:pPr>
      <w:r>
        <w:rPr>
          <w:rFonts w:ascii="Times New Roman"/>
          <w:b w:val="false"/>
          <w:i w:val="false"/>
          <w:color w:val="000000"/>
          <w:sz w:val="28"/>
        </w:rPr>
        <w:t>
      внутренние процедуры представления отчетности по внутреннему контролю, обеспечивающие своевременное доведение необходимой информации до сведения уполномоченных органов (подразделений) брокера.</w:t>
      </w:r>
    </w:p>
    <w:bookmarkEnd w:id="85"/>
    <w:bookmarkStart w:name="z92" w:id="86"/>
    <w:p>
      <w:pPr>
        <w:spacing w:after="0"/>
        <w:ind w:left="0"/>
        <w:jc w:val="left"/>
      </w:pPr>
      <w:r>
        <w:rPr>
          <w:rFonts w:ascii="Times New Roman"/>
          <w:b/>
          <w:i w:val="false"/>
          <w:color w:val="000000"/>
        </w:rPr>
        <w:t xml:space="preserve"> 2.5. Требования в отношении наличия методик мониторинга, определения, исчисления рисков и управления ими</w:t>
      </w:r>
    </w:p>
    <w:bookmarkEnd w:id="86"/>
    <w:bookmarkStart w:name="z93" w:id="87"/>
    <w:p>
      <w:pPr>
        <w:spacing w:after="0"/>
        <w:ind w:left="0"/>
        <w:jc w:val="both"/>
      </w:pPr>
      <w:r>
        <w:rPr>
          <w:rFonts w:ascii="Times New Roman"/>
          <w:b w:val="false"/>
          <w:i w:val="false"/>
          <w:color w:val="000000"/>
          <w:sz w:val="28"/>
        </w:rPr>
        <w:t>
      Законодательством государства-члена могут устанавливаться требования к наличию в локальных нормативных актах брокеров методик мониторинга, определения и исчисления рисков, а также мер по управлению рисками и снижению их уровня.</w:t>
      </w:r>
    </w:p>
    <w:bookmarkEnd w:id="87"/>
    <w:bookmarkStart w:name="z94" w:id="88"/>
    <w:p>
      <w:pPr>
        <w:spacing w:after="0"/>
        <w:ind w:left="0"/>
        <w:jc w:val="left"/>
      </w:pPr>
      <w:r>
        <w:rPr>
          <w:rFonts w:ascii="Times New Roman"/>
          <w:b/>
          <w:i w:val="false"/>
          <w:color w:val="000000"/>
        </w:rPr>
        <w:t xml:space="preserve"> 2.6. Ответственные лица, обеспечивающие управление рисками, внутренний контроль, их подчиненность и подотчетность</w:t>
      </w:r>
    </w:p>
    <w:bookmarkEnd w:id="88"/>
    <w:bookmarkStart w:name="z95" w:id="89"/>
    <w:p>
      <w:pPr>
        <w:spacing w:after="0"/>
        <w:ind w:left="0"/>
        <w:jc w:val="both"/>
      </w:pPr>
      <w:r>
        <w:rPr>
          <w:rFonts w:ascii="Times New Roman"/>
          <w:b w:val="false"/>
          <w:i w:val="false"/>
          <w:color w:val="000000"/>
          <w:sz w:val="28"/>
        </w:rPr>
        <w:t>
      Законодательством государства-члена могут быть установлены требования к:</w:t>
      </w:r>
    </w:p>
    <w:bookmarkEnd w:id="89"/>
    <w:bookmarkStart w:name="z96" w:id="90"/>
    <w:p>
      <w:pPr>
        <w:spacing w:after="0"/>
        <w:ind w:left="0"/>
        <w:jc w:val="both"/>
      </w:pPr>
      <w:r>
        <w:rPr>
          <w:rFonts w:ascii="Times New Roman"/>
          <w:b w:val="false"/>
          <w:i w:val="false"/>
          <w:color w:val="000000"/>
          <w:sz w:val="28"/>
        </w:rPr>
        <w:t>
      наличию в организационной структуре брокера лиц, ответственных за управление рисками и осуществление внутреннего контроля;</w:t>
      </w:r>
    </w:p>
    <w:bookmarkEnd w:id="90"/>
    <w:bookmarkStart w:name="z97" w:id="91"/>
    <w:p>
      <w:pPr>
        <w:spacing w:after="0"/>
        <w:ind w:left="0"/>
        <w:jc w:val="both"/>
      </w:pPr>
      <w:r>
        <w:rPr>
          <w:rFonts w:ascii="Times New Roman"/>
          <w:b w:val="false"/>
          <w:i w:val="false"/>
          <w:color w:val="000000"/>
          <w:sz w:val="28"/>
        </w:rPr>
        <w:t>
      определению полномочий и функциональных обязанностей указанных лиц, установлению квалификационных требований к ним;</w:t>
      </w:r>
    </w:p>
    <w:bookmarkEnd w:id="91"/>
    <w:bookmarkStart w:name="z98" w:id="92"/>
    <w:p>
      <w:pPr>
        <w:spacing w:after="0"/>
        <w:ind w:left="0"/>
        <w:jc w:val="both"/>
      </w:pPr>
      <w:r>
        <w:rPr>
          <w:rFonts w:ascii="Times New Roman"/>
          <w:b w:val="false"/>
          <w:i w:val="false"/>
          <w:color w:val="000000"/>
          <w:sz w:val="28"/>
        </w:rPr>
        <w:t>
      созданию условий для исполнения указанными лицами возложенных на них обязанностей по управлению рисками и осуществлению внутреннего контроля, включая условия для предотвращения конфликта интересов;</w:t>
      </w:r>
    </w:p>
    <w:bookmarkEnd w:id="92"/>
    <w:bookmarkStart w:name="z99" w:id="93"/>
    <w:p>
      <w:pPr>
        <w:spacing w:after="0"/>
        <w:ind w:left="0"/>
        <w:jc w:val="both"/>
      </w:pPr>
      <w:r>
        <w:rPr>
          <w:rFonts w:ascii="Times New Roman"/>
          <w:b w:val="false"/>
          <w:i w:val="false"/>
          <w:color w:val="000000"/>
          <w:sz w:val="28"/>
        </w:rPr>
        <w:t>
      наличию контроля за выполнением брокером рекомендаций указанных лиц.</w:t>
      </w:r>
    </w:p>
    <w:bookmarkEnd w:id="93"/>
    <w:bookmarkStart w:name="z100" w:id="94"/>
    <w:p>
      <w:pPr>
        <w:spacing w:after="0"/>
        <w:ind w:left="0"/>
        <w:jc w:val="both"/>
      </w:pPr>
      <w:r>
        <w:rPr>
          <w:rFonts w:ascii="Times New Roman"/>
          <w:b w:val="false"/>
          <w:i w:val="false"/>
          <w:color w:val="000000"/>
          <w:sz w:val="28"/>
        </w:rPr>
        <w:t>
      Для выполнения указанных требований в штате брокера может предусматриваться наличие:</w:t>
      </w:r>
    </w:p>
    <w:bookmarkEnd w:id="94"/>
    <w:bookmarkStart w:name="z101" w:id="95"/>
    <w:p>
      <w:pPr>
        <w:spacing w:after="0"/>
        <w:ind w:left="0"/>
        <w:jc w:val="both"/>
      </w:pPr>
      <w:r>
        <w:rPr>
          <w:rFonts w:ascii="Times New Roman"/>
          <w:b w:val="false"/>
          <w:i w:val="false"/>
          <w:color w:val="000000"/>
          <w:sz w:val="28"/>
        </w:rPr>
        <w:t>
      внутреннего контролера либо отдельного подразделения (службы внутреннего контроля);</w:t>
      </w:r>
    </w:p>
    <w:bookmarkEnd w:id="95"/>
    <w:bookmarkStart w:name="z102" w:id="96"/>
    <w:p>
      <w:pPr>
        <w:spacing w:after="0"/>
        <w:ind w:left="0"/>
        <w:jc w:val="both"/>
      </w:pPr>
      <w:r>
        <w:rPr>
          <w:rFonts w:ascii="Times New Roman"/>
          <w:b w:val="false"/>
          <w:i w:val="false"/>
          <w:color w:val="000000"/>
          <w:sz w:val="28"/>
        </w:rPr>
        <w:t>
      внутреннего аудитора или отдельного подразделения (службы внутреннего аудита).</w:t>
      </w:r>
    </w:p>
    <w:bookmarkEnd w:id="96"/>
    <w:bookmarkStart w:name="z103" w:id="97"/>
    <w:p>
      <w:pPr>
        <w:spacing w:after="0"/>
        <w:ind w:left="0"/>
        <w:jc w:val="left"/>
      </w:pPr>
      <w:r>
        <w:rPr>
          <w:rFonts w:ascii="Times New Roman"/>
          <w:b/>
          <w:i w:val="false"/>
          <w:color w:val="000000"/>
        </w:rPr>
        <w:t xml:space="preserve"> 3. Требования к руководителям, персоналу, учредителям и акционерам брокера и их квалификации (требования, установленные законодательством государства-члена)</w:t>
      </w:r>
    </w:p>
    <w:bookmarkEnd w:id="97"/>
    <w:bookmarkStart w:name="z104" w:id="98"/>
    <w:p>
      <w:pPr>
        <w:spacing w:after="0"/>
        <w:ind w:left="0"/>
        <w:jc w:val="both"/>
      </w:pPr>
      <w:r>
        <w:rPr>
          <w:rFonts w:ascii="Times New Roman"/>
          <w:b w:val="false"/>
          <w:i w:val="false"/>
          <w:color w:val="000000"/>
          <w:sz w:val="28"/>
        </w:rPr>
        <w:t xml:space="preserve">
      Перечень должностных лиц, работников, учредителей, акционеров (участников) брокера, к которым (в том числе к квалификации и деловой репутации которых) предъявляются требования в связи с осуществлением деятельности брокера, а также перечень таких требований определяются законодательством государства-члена. </w:t>
      </w:r>
    </w:p>
    <w:bookmarkEnd w:id="98"/>
    <w:bookmarkStart w:name="z105" w:id="99"/>
    <w:p>
      <w:pPr>
        <w:spacing w:after="0"/>
        <w:ind w:left="0"/>
        <w:jc w:val="both"/>
      </w:pPr>
      <w:r>
        <w:rPr>
          <w:rFonts w:ascii="Times New Roman"/>
          <w:b w:val="false"/>
          <w:i w:val="false"/>
          <w:color w:val="000000"/>
          <w:sz w:val="28"/>
        </w:rPr>
        <w:t xml:space="preserve">
      На текущем этапе гармонизации законодательства государств-членов с учетом положений </w:t>
      </w:r>
      <w:r>
        <w:rPr>
          <w:rFonts w:ascii="Times New Roman"/>
          <w:b w:val="false"/>
          <w:i w:val="false"/>
          <w:color w:val="000000"/>
          <w:sz w:val="28"/>
        </w:rPr>
        <w:t>Концепции</w:t>
      </w:r>
      <w:r>
        <w:rPr>
          <w:rFonts w:ascii="Times New Roman"/>
          <w:b w:val="false"/>
          <w:i w:val="false"/>
          <w:color w:val="000000"/>
          <w:sz w:val="28"/>
        </w:rPr>
        <w:t xml:space="preserve"> формирования общего финансового рынка Евразийского экономического союза, утвержденной Решением Высшего Евразийского экономического совета от 1 октября 2019 г. № 20, а также в соответствии с </w:t>
      </w:r>
      <w:r>
        <w:rPr>
          <w:rFonts w:ascii="Times New Roman"/>
          <w:b w:val="false"/>
          <w:i w:val="false"/>
          <w:color w:val="000000"/>
          <w:sz w:val="28"/>
        </w:rPr>
        <w:t>планом мероприятий</w:t>
      </w:r>
      <w:r>
        <w:rPr>
          <w:rFonts w:ascii="Times New Roman"/>
          <w:b w:val="false"/>
          <w:i w:val="false"/>
          <w:color w:val="000000"/>
          <w:sz w:val="28"/>
        </w:rPr>
        <w:t xml:space="preserve"> ("дорожной картой") по формированию общего биржевого пространства в рамках Евразийского экономического союза, утвержденным распоряжением Коллегии Евразийской экономической комиссии от 3 ноября 2020 г. № 159, указанные требования, установленные законодательством государств-членов, считаются гармонизированными в степени, достаточной для принятия государствами-членами обязательств по взаимному допуску брокеров на основании национальных лицензий государств-членов.</w:t>
      </w:r>
    </w:p>
    <w:bookmarkEnd w:id="99"/>
    <w:bookmarkStart w:name="z106" w:id="100"/>
    <w:p>
      <w:pPr>
        <w:spacing w:after="0"/>
        <w:ind w:left="0"/>
        <w:jc w:val="both"/>
      </w:pPr>
      <w:r>
        <w:rPr>
          <w:rFonts w:ascii="Times New Roman"/>
          <w:b w:val="false"/>
          <w:i w:val="false"/>
          <w:color w:val="000000"/>
          <w:sz w:val="28"/>
        </w:rPr>
        <w:t xml:space="preserve">
      В рамках выработки подходов к допуску брокеров на общий финансовый рынок Евразийского экономического союза государства-члены продолжат работу по гармонизации требований к должностным лицам, работникам, учредителям (акционерам, участникам) брокеров (материнских компаний брокеров) в соответствии с </w:t>
      </w:r>
      <w:r>
        <w:rPr>
          <w:rFonts w:ascii="Times New Roman"/>
          <w:b w:val="false"/>
          <w:i w:val="false"/>
          <w:color w:val="000000"/>
          <w:sz w:val="28"/>
        </w:rPr>
        <w:t>планом мероприятий</w:t>
      </w:r>
      <w:r>
        <w:rPr>
          <w:rFonts w:ascii="Times New Roman"/>
          <w:b w:val="false"/>
          <w:i w:val="false"/>
          <w:color w:val="000000"/>
          <w:sz w:val="28"/>
        </w:rPr>
        <w:t xml:space="preserve"> по гармонизации законодательства государств  –  членов Евразийского экономического союза в сфере финансового рынка, утвержденным распоряжением Совета Евразийской экономической комиссии от 23 ноября 2020 г. № 27.</w:t>
      </w:r>
    </w:p>
    <w:bookmarkEnd w:id="100"/>
    <w:bookmarkStart w:name="z107" w:id="101"/>
    <w:p>
      <w:pPr>
        <w:spacing w:after="0"/>
        <w:ind w:left="0"/>
        <w:jc w:val="left"/>
      </w:pPr>
      <w:r>
        <w:rPr>
          <w:rFonts w:ascii="Times New Roman"/>
          <w:b/>
          <w:i w:val="false"/>
          <w:color w:val="000000"/>
        </w:rPr>
        <w:t xml:space="preserve"> 4. Требования к организационно-правовой форме собственности брокера (допустимые организационно-правовые формы брокера)</w:t>
      </w:r>
    </w:p>
    <w:bookmarkEnd w:id="101"/>
    <w:bookmarkStart w:name="z108" w:id="102"/>
    <w:p>
      <w:pPr>
        <w:spacing w:after="0"/>
        <w:ind w:left="0"/>
        <w:jc w:val="both"/>
      </w:pPr>
      <w:r>
        <w:rPr>
          <w:rFonts w:ascii="Times New Roman"/>
          <w:b w:val="false"/>
          <w:i w:val="false"/>
          <w:color w:val="000000"/>
          <w:sz w:val="28"/>
        </w:rPr>
        <w:t>
      Требования к организационно-правовой форме брокера устанавливаются законодательством государства-члена.</w:t>
      </w:r>
    </w:p>
    <w:bookmarkEnd w:id="102"/>
    <w:bookmarkStart w:name="z109" w:id="103"/>
    <w:p>
      <w:pPr>
        <w:spacing w:after="0"/>
        <w:ind w:left="0"/>
        <w:jc w:val="both"/>
      </w:pPr>
      <w:r>
        <w:rPr>
          <w:rFonts w:ascii="Times New Roman"/>
          <w:b w:val="false"/>
          <w:i w:val="false"/>
          <w:color w:val="000000"/>
          <w:sz w:val="28"/>
        </w:rPr>
        <w:t>
      Виды организационно-правовых форм брокера, предусмотренные законодательством одного государства-члена, являются допустимыми и не могут рассматриваться как препятствие для осуществления им деятельности на территории другого государства-члена.</w:t>
      </w:r>
    </w:p>
    <w:bookmarkEnd w:id="103"/>
    <w:bookmarkStart w:name="z110" w:id="104"/>
    <w:p>
      <w:pPr>
        <w:spacing w:after="0"/>
        <w:ind w:left="0"/>
        <w:jc w:val="left"/>
      </w:pPr>
      <w:r>
        <w:rPr>
          <w:rFonts w:ascii="Times New Roman"/>
          <w:b/>
          <w:i w:val="false"/>
          <w:color w:val="000000"/>
        </w:rPr>
        <w:t xml:space="preserve"> 5. Требования к структуре брокера (выделение специальных подразделений, за исключением служб управления рисками и внутреннего контроля)</w:t>
      </w:r>
    </w:p>
    <w:bookmarkEnd w:id="104"/>
    <w:bookmarkStart w:name="z111" w:id="105"/>
    <w:p>
      <w:pPr>
        <w:spacing w:after="0"/>
        <w:ind w:left="0"/>
        <w:jc w:val="both"/>
      </w:pPr>
      <w:r>
        <w:rPr>
          <w:rFonts w:ascii="Times New Roman"/>
          <w:b w:val="false"/>
          <w:i w:val="false"/>
          <w:color w:val="000000"/>
          <w:sz w:val="28"/>
        </w:rPr>
        <w:t xml:space="preserve">
      Организационная структура брокера определяется законодательством государства-члена. </w:t>
      </w:r>
    </w:p>
    <w:bookmarkEnd w:id="105"/>
    <w:bookmarkStart w:name="z112" w:id="106"/>
    <w:p>
      <w:pPr>
        <w:spacing w:after="0"/>
        <w:ind w:left="0"/>
        <w:jc w:val="both"/>
      </w:pPr>
      <w:r>
        <w:rPr>
          <w:rFonts w:ascii="Times New Roman"/>
          <w:b w:val="false"/>
          <w:i w:val="false"/>
          <w:color w:val="000000"/>
          <w:sz w:val="28"/>
        </w:rPr>
        <w:t>
      Законодательством государства-члена могут быть установлены требования в отношении структурных подразделений, а также работников и руководителей таких структурных подразделений, в обязанности которых входит осуществление брокерской деятельности.</w:t>
      </w:r>
    </w:p>
    <w:bookmarkEnd w:id="106"/>
    <w:bookmarkStart w:name="z113" w:id="107"/>
    <w:p>
      <w:pPr>
        <w:spacing w:after="0"/>
        <w:ind w:left="0"/>
        <w:jc w:val="both"/>
      </w:pPr>
      <w:r>
        <w:rPr>
          <w:rFonts w:ascii="Times New Roman"/>
          <w:b w:val="false"/>
          <w:i w:val="false"/>
          <w:color w:val="000000"/>
          <w:sz w:val="28"/>
        </w:rPr>
        <w:t>
      Допускается установление требований в отношении наличия в структуре брокера (в зависимости от видов разрешенных операций со средствами клиентов) отдельных структурных подразделений или работников, осуществляющих:</w:t>
      </w:r>
    </w:p>
    <w:bookmarkEnd w:id="107"/>
    <w:bookmarkStart w:name="z114" w:id="108"/>
    <w:p>
      <w:pPr>
        <w:spacing w:after="0"/>
        <w:ind w:left="0"/>
        <w:jc w:val="both"/>
      </w:pPr>
      <w:r>
        <w:rPr>
          <w:rFonts w:ascii="Times New Roman"/>
          <w:b w:val="false"/>
          <w:i w:val="false"/>
          <w:color w:val="000000"/>
          <w:sz w:val="28"/>
        </w:rPr>
        <w:t>
      заключение сделок с финансовыми инструментами (торговое подразделение);</w:t>
      </w:r>
    </w:p>
    <w:bookmarkEnd w:id="108"/>
    <w:bookmarkStart w:name="z115" w:id="109"/>
    <w:p>
      <w:pPr>
        <w:spacing w:after="0"/>
        <w:ind w:left="0"/>
        <w:jc w:val="both"/>
      </w:pPr>
      <w:r>
        <w:rPr>
          <w:rFonts w:ascii="Times New Roman"/>
          <w:b w:val="false"/>
          <w:i w:val="false"/>
          <w:color w:val="000000"/>
          <w:sz w:val="28"/>
        </w:rPr>
        <w:t>
      исполнение обязательств по сделкам с финансовыми инструментами (расчетное подразделение);</w:t>
      </w:r>
    </w:p>
    <w:bookmarkEnd w:id="109"/>
    <w:bookmarkStart w:name="z116" w:id="110"/>
    <w:p>
      <w:pPr>
        <w:spacing w:after="0"/>
        <w:ind w:left="0"/>
        <w:jc w:val="both"/>
      </w:pPr>
      <w:r>
        <w:rPr>
          <w:rFonts w:ascii="Times New Roman"/>
          <w:b w:val="false"/>
          <w:i w:val="false"/>
          <w:color w:val="000000"/>
          <w:sz w:val="28"/>
        </w:rPr>
        <w:t>
      учет собственных финансовых инструментов и денежных средств брокера;</w:t>
      </w:r>
    </w:p>
    <w:bookmarkEnd w:id="110"/>
    <w:bookmarkStart w:name="z117" w:id="111"/>
    <w:p>
      <w:pPr>
        <w:spacing w:after="0"/>
        <w:ind w:left="0"/>
        <w:jc w:val="both"/>
      </w:pPr>
      <w:r>
        <w:rPr>
          <w:rFonts w:ascii="Times New Roman"/>
          <w:b w:val="false"/>
          <w:i w:val="false"/>
          <w:color w:val="000000"/>
          <w:sz w:val="28"/>
        </w:rPr>
        <w:t>
      учет финансовых инструментов и денежных средств клиентов.</w:t>
      </w:r>
    </w:p>
    <w:bookmarkEnd w:id="111"/>
    <w:bookmarkStart w:name="z118" w:id="112"/>
    <w:p>
      <w:pPr>
        <w:spacing w:after="0"/>
        <w:ind w:left="0"/>
        <w:jc w:val="both"/>
      </w:pPr>
      <w:r>
        <w:rPr>
          <w:rFonts w:ascii="Times New Roman"/>
          <w:b w:val="false"/>
          <w:i w:val="false"/>
          <w:color w:val="000000"/>
          <w:sz w:val="28"/>
        </w:rPr>
        <w:t>
      При этом также допускается установление следующих ограничений:</w:t>
      </w:r>
    </w:p>
    <w:bookmarkEnd w:id="112"/>
    <w:bookmarkStart w:name="z119" w:id="113"/>
    <w:p>
      <w:pPr>
        <w:spacing w:after="0"/>
        <w:ind w:left="0"/>
        <w:jc w:val="both"/>
      </w:pPr>
      <w:r>
        <w:rPr>
          <w:rFonts w:ascii="Times New Roman"/>
          <w:b w:val="false"/>
          <w:i w:val="false"/>
          <w:color w:val="000000"/>
          <w:sz w:val="28"/>
        </w:rPr>
        <w:t>
      по совмещению должности руководителя брокера, его заместителя с должностью руководителя структурного подразделения, осуществляющего брокерскую деятельность;</w:t>
      </w:r>
    </w:p>
    <w:bookmarkEnd w:id="113"/>
    <w:bookmarkStart w:name="z120" w:id="114"/>
    <w:p>
      <w:pPr>
        <w:spacing w:after="0"/>
        <w:ind w:left="0"/>
        <w:jc w:val="both"/>
      </w:pPr>
      <w:r>
        <w:rPr>
          <w:rFonts w:ascii="Times New Roman"/>
          <w:b w:val="false"/>
          <w:i w:val="false"/>
          <w:color w:val="000000"/>
          <w:sz w:val="28"/>
        </w:rPr>
        <w:t>
      по совмещению (делегированию) должности руководителя (обязанностей работника) структурного подразделения, осуществляющего брокерскую деятельность, с должностью руководителя (обязанностями работника) другого подразделения брокера.</w:t>
      </w:r>
    </w:p>
    <w:bookmarkEnd w:id="114"/>
    <w:bookmarkStart w:name="z121" w:id="115"/>
    <w:p>
      <w:pPr>
        <w:spacing w:after="0"/>
        <w:ind w:left="0"/>
        <w:jc w:val="both"/>
      </w:pPr>
      <w:r>
        <w:rPr>
          <w:rFonts w:ascii="Times New Roman"/>
          <w:b w:val="false"/>
          <w:i w:val="false"/>
          <w:color w:val="000000"/>
          <w:sz w:val="28"/>
        </w:rPr>
        <w:t>
      Могут быть установлены требования в отношении наличия отдельного структурного подразделения, к исключительным функциям которого относится осуществление брокерской деятельности, в случае совмещения брокерской деятельности с иными разрешенными законодательством государства-члена к совмещению видами деятельности (например, деятельностью, осуществляемой кредитной организацией, клиринговой организацией, организатором торговли и др.).</w:t>
      </w:r>
    </w:p>
    <w:bookmarkEnd w:id="115"/>
    <w:bookmarkStart w:name="z122" w:id="116"/>
    <w:p>
      <w:pPr>
        <w:spacing w:after="0"/>
        <w:ind w:left="0"/>
        <w:jc w:val="both"/>
      </w:pPr>
      <w:r>
        <w:rPr>
          <w:rFonts w:ascii="Times New Roman"/>
          <w:b w:val="false"/>
          <w:i w:val="false"/>
          <w:color w:val="000000"/>
          <w:sz w:val="28"/>
        </w:rPr>
        <w:t>
      Также допускается установление требований о том, что работа руководителя указанного структурного подразделения является для него основным местом работы в соответствии с законодательством государства-члена.</w:t>
      </w:r>
    </w:p>
    <w:bookmarkEnd w:id="116"/>
    <w:bookmarkStart w:name="z123" w:id="117"/>
    <w:p>
      <w:pPr>
        <w:spacing w:after="0"/>
        <w:ind w:left="0"/>
        <w:jc w:val="left"/>
      </w:pPr>
      <w:r>
        <w:rPr>
          <w:rFonts w:ascii="Times New Roman"/>
          <w:b/>
          <w:i w:val="false"/>
          <w:color w:val="000000"/>
        </w:rPr>
        <w:t xml:space="preserve"> 6. Требования к работе с клиентами</w:t>
      </w:r>
    </w:p>
    <w:bookmarkEnd w:id="117"/>
    <w:bookmarkStart w:name="z124" w:id="118"/>
    <w:p>
      <w:pPr>
        <w:spacing w:after="0"/>
        <w:ind w:left="0"/>
        <w:jc w:val="left"/>
      </w:pPr>
      <w:r>
        <w:rPr>
          <w:rFonts w:ascii="Times New Roman"/>
          <w:b/>
          <w:i w:val="false"/>
          <w:color w:val="000000"/>
        </w:rPr>
        <w:t xml:space="preserve"> 6.1. Специальные требования к работе с клиентами</w:t>
      </w:r>
    </w:p>
    <w:bookmarkEnd w:id="118"/>
    <w:bookmarkStart w:name="z125" w:id="119"/>
    <w:p>
      <w:pPr>
        <w:spacing w:after="0"/>
        <w:ind w:left="0"/>
        <w:jc w:val="both"/>
      </w:pPr>
      <w:r>
        <w:rPr>
          <w:rFonts w:ascii="Times New Roman"/>
          <w:b w:val="false"/>
          <w:i w:val="false"/>
          <w:color w:val="000000"/>
          <w:sz w:val="28"/>
        </w:rPr>
        <w:t xml:space="preserve">
      В целях соблюдения общепризнанных принципов регулирования деятельности брокеров на рынке ценных бумаг (Принцип 31 и Принцип 32 Целей и принципов регулирования рынка ценных бумаг Международной организации комиссий по ценным бумагам (IOSCO OPSR)) в законодательстве государства-члена должны быть установлены требования к брокерам, направленные на защиту интересов клиентов и их активов, предотвращение конфликта интересов брокера и его клиентов (конфликта между интересами его клиентов), снижение вреда и убытков, причиняемых инвесторам. </w:t>
      </w:r>
    </w:p>
    <w:bookmarkEnd w:id="119"/>
    <w:bookmarkStart w:name="z126" w:id="120"/>
    <w:p>
      <w:pPr>
        <w:spacing w:after="0"/>
        <w:ind w:left="0"/>
        <w:jc w:val="both"/>
      </w:pPr>
      <w:r>
        <w:rPr>
          <w:rFonts w:ascii="Times New Roman"/>
          <w:b w:val="false"/>
          <w:i w:val="false"/>
          <w:color w:val="000000"/>
          <w:sz w:val="28"/>
        </w:rPr>
        <w:t>
      Виды, формы, условия и положения договоров на оказание брокерских услуг, а также договоров по покупке (продаже) финансовых инструментов, заключаемых в процессе оказания брокерских услуг на рынке ценных бумаг, устанавливаются законодательством государства-члена.</w:t>
      </w:r>
    </w:p>
    <w:bookmarkEnd w:id="120"/>
    <w:bookmarkStart w:name="z127" w:id="121"/>
    <w:p>
      <w:pPr>
        <w:spacing w:after="0"/>
        <w:ind w:left="0"/>
        <w:jc w:val="left"/>
      </w:pPr>
      <w:r>
        <w:rPr>
          <w:rFonts w:ascii="Times New Roman"/>
          <w:b/>
          <w:i w:val="false"/>
          <w:color w:val="000000"/>
        </w:rPr>
        <w:t xml:space="preserve"> 6.2. Информационное взаимодействие брокера с клиентами</w:t>
      </w:r>
    </w:p>
    <w:bookmarkEnd w:id="121"/>
    <w:bookmarkStart w:name="z128" w:id="122"/>
    <w:p>
      <w:pPr>
        <w:spacing w:after="0"/>
        <w:ind w:left="0"/>
        <w:jc w:val="both"/>
      </w:pPr>
      <w:r>
        <w:rPr>
          <w:rFonts w:ascii="Times New Roman"/>
          <w:b w:val="false"/>
          <w:i w:val="false"/>
          <w:color w:val="000000"/>
          <w:sz w:val="28"/>
        </w:rPr>
        <w:t>
      В законодательстве государства-члена должны быть установлены требования об обязательном доведении брокером до своих клиентов (потенциальных клиентов) информации:</w:t>
      </w:r>
    </w:p>
    <w:bookmarkEnd w:id="122"/>
    <w:bookmarkStart w:name="z129" w:id="123"/>
    <w:p>
      <w:pPr>
        <w:spacing w:after="0"/>
        <w:ind w:left="0"/>
        <w:jc w:val="both"/>
      </w:pPr>
      <w:r>
        <w:rPr>
          <w:rFonts w:ascii="Times New Roman"/>
          <w:b w:val="false"/>
          <w:i w:val="false"/>
          <w:color w:val="000000"/>
          <w:sz w:val="28"/>
        </w:rPr>
        <w:t>
      о лицензии на осуществление профессиональной деятельности на рынке ценных бумаг;</w:t>
      </w:r>
    </w:p>
    <w:bookmarkEnd w:id="123"/>
    <w:bookmarkStart w:name="z130" w:id="124"/>
    <w:p>
      <w:pPr>
        <w:spacing w:after="0"/>
        <w:ind w:left="0"/>
        <w:jc w:val="both"/>
      </w:pPr>
      <w:r>
        <w:rPr>
          <w:rFonts w:ascii="Times New Roman"/>
          <w:b w:val="false"/>
          <w:i w:val="false"/>
          <w:color w:val="000000"/>
          <w:sz w:val="28"/>
        </w:rPr>
        <w:t>
      о расходах и (или) комиссии на оказываемые услуги;</w:t>
      </w:r>
    </w:p>
    <w:bookmarkEnd w:id="124"/>
    <w:bookmarkStart w:name="z131" w:id="125"/>
    <w:p>
      <w:pPr>
        <w:spacing w:after="0"/>
        <w:ind w:left="0"/>
        <w:jc w:val="both"/>
      </w:pPr>
      <w:r>
        <w:rPr>
          <w:rFonts w:ascii="Times New Roman"/>
          <w:b w:val="false"/>
          <w:i w:val="false"/>
          <w:color w:val="000000"/>
          <w:sz w:val="28"/>
        </w:rPr>
        <w:t>
      о месте заключения сделки (указывается наименование фондовой биржи, другого регулируемого рынка или "нерегулируемого рынка");</w:t>
      </w:r>
    </w:p>
    <w:bookmarkEnd w:id="125"/>
    <w:bookmarkStart w:name="z132" w:id="126"/>
    <w:p>
      <w:pPr>
        <w:spacing w:after="0"/>
        <w:ind w:left="0"/>
        <w:jc w:val="both"/>
      </w:pPr>
      <w:r>
        <w:rPr>
          <w:rFonts w:ascii="Times New Roman"/>
          <w:b w:val="false"/>
          <w:i w:val="false"/>
          <w:color w:val="000000"/>
          <w:sz w:val="28"/>
        </w:rPr>
        <w:t>
      об иных аспектах деятельности брокера в объеме, предусмотренном законодательством государства-члена.</w:t>
      </w:r>
    </w:p>
    <w:bookmarkEnd w:id="126"/>
    <w:bookmarkStart w:name="z133" w:id="127"/>
    <w:p>
      <w:pPr>
        <w:spacing w:after="0"/>
        <w:ind w:left="0"/>
        <w:jc w:val="both"/>
      </w:pPr>
      <w:r>
        <w:rPr>
          <w:rFonts w:ascii="Times New Roman"/>
          <w:b w:val="false"/>
          <w:i w:val="false"/>
          <w:color w:val="000000"/>
          <w:sz w:val="28"/>
        </w:rPr>
        <w:t>
      Допускается также установление законодательством государства-члена требования об обязательном информировании брокером своих клиентов (потенциальных клиентов) о размере собственных средств брокера.</w:t>
      </w:r>
    </w:p>
    <w:bookmarkEnd w:id="127"/>
    <w:bookmarkStart w:name="z134" w:id="128"/>
    <w:p>
      <w:pPr>
        <w:spacing w:after="0"/>
        <w:ind w:left="0"/>
        <w:jc w:val="both"/>
      </w:pPr>
      <w:r>
        <w:rPr>
          <w:rFonts w:ascii="Times New Roman"/>
          <w:b w:val="false"/>
          <w:i w:val="false"/>
          <w:color w:val="000000"/>
          <w:sz w:val="28"/>
        </w:rPr>
        <w:t>
      До исполнения поручения клиента брокер обязан предоставить клиенту следующую информацию в отношении финансового инструмента (за исключением информации, составляющей коммерческую и служебную тайну):</w:t>
      </w:r>
    </w:p>
    <w:bookmarkEnd w:id="128"/>
    <w:bookmarkStart w:name="z135" w:id="129"/>
    <w:p>
      <w:pPr>
        <w:spacing w:after="0"/>
        <w:ind w:left="0"/>
        <w:jc w:val="both"/>
      </w:pPr>
      <w:r>
        <w:rPr>
          <w:rFonts w:ascii="Times New Roman"/>
          <w:b w:val="false"/>
          <w:i w:val="false"/>
          <w:color w:val="000000"/>
          <w:sz w:val="28"/>
        </w:rPr>
        <w:t xml:space="preserve">
      о параметрах и реквизитах финансового инструмента; </w:t>
      </w:r>
    </w:p>
    <w:bookmarkEnd w:id="129"/>
    <w:bookmarkStart w:name="z136" w:id="130"/>
    <w:p>
      <w:pPr>
        <w:spacing w:after="0"/>
        <w:ind w:left="0"/>
        <w:jc w:val="both"/>
      </w:pPr>
      <w:r>
        <w:rPr>
          <w:rFonts w:ascii="Times New Roman"/>
          <w:b w:val="false"/>
          <w:i w:val="false"/>
          <w:color w:val="000000"/>
          <w:sz w:val="28"/>
        </w:rPr>
        <w:t>
      об эмитенте финансового инструмента (о лице, выдавшем финансовый инструмент);</w:t>
      </w:r>
    </w:p>
    <w:bookmarkEnd w:id="130"/>
    <w:bookmarkStart w:name="z137" w:id="131"/>
    <w:p>
      <w:pPr>
        <w:spacing w:after="0"/>
        <w:ind w:left="0"/>
        <w:jc w:val="both"/>
      </w:pPr>
      <w:r>
        <w:rPr>
          <w:rFonts w:ascii="Times New Roman"/>
          <w:b w:val="false"/>
          <w:i w:val="false"/>
          <w:color w:val="000000"/>
          <w:sz w:val="28"/>
        </w:rPr>
        <w:t xml:space="preserve">
      о цене финансового инструмента; </w:t>
      </w:r>
    </w:p>
    <w:bookmarkEnd w:id="131"/>
    <w:bookmarkStart w:name="z138" w:id="132"/>
    <w:p>
      <w:pPr>
        <w:spacing w:after="0"/>
        <w:ind w:left="0"/>
        <w:jc w:val="both"/>
      </w:pPr>
      <w:r>
        <w:rPr>
          <w:rFonts w:ascii="Times New Roman"/>
          <w:b w:val="false"/>
          <w:i w:val="false"/>
          <w:color w:val="000000"/>
          <w:sz w:val="28"/>
        </w:rPr>
        <w:t>
      об ограничениях и особых условиях, установленных законодательством государства-члена для сделок с данным финансовым инструментом;</w:t>
      </w:r>
    </w:p>
    <w:bookmarkEnd w:id="132"/>
    <w:bookmarkStart w:name="z139" w:id="133"/>
    <w:p>
      <w:pPr>
        <w:spacing w:after="0"/>
        <w:ind w:left="0"/>
        <w:jc w:val="both"/>
      </w:pPr>
      <w:r>
        <w:rPr>
          <w:rFonts w:ascii="Times New Roman"/>
          <w:b w:val="false"/>
          <w:i w:val="false"/>
          <w:color w:val="000000"/>
          <w:sz w:val="28"/>
        </w:rPr>
        <w:t>
      о возможностях и фактах возникновения конфликта интересов в процессе совершения по указанию клиента сделки с финансовым инструментом.</w:t>
      </w:r>
    </w:p>
    <w:bookmarkEnd w:id="133"/>
    <w:bookmarkStart w:name="z140" w:id="134"/>
    <w:p>
      <w:pPr>
        <w:spacing w:after="0"/>
        <w:ind w:left="0"/>
        <w:jc w:val="both"/>
      </w:pPr>
      <w:r>
        <w:rPr>
          <w:rFonts w:ascii="Times New Roman"/>
          <w:b w:val="false"/>
          <w:i w:val="false"/>
          <w:color w:val="000000"/>
          <w:sz w:val="28"/>
        </w:rPr>
        <w:t>
      Законодательством государства-члена обязанность предоставления клиенту указанной в абзацах восьмом – десятом настоящего раздела информации в отношении финансового инструмента может быть предусмотрена только в случае исполнения поручений определенных категорий клиентов и (или) только по требованию клиента.</w:t>
      </w:r>
    </w:p>
    <w:bookmarkEnd w:id="134"/>
    <w:bookmarkStart w:name="z141" w:id="135"/>
    <w:p>
      <w:pPr>
        <w:spacing w:after="0"/>
        <w:ind w:left="0"/>
        <w:jc w:val="both"/>
      </w:pPr>
      <w:r>
        <w:rPr>
          <w:rFonts w:ascii="Times New Roman"/>
          <w:b w:val="false"/>
          <w:i w:val="false"/>
          <w:color w:val="000000"/>
          <w:sz w:val="28"/>
        </w:rPr>
        <w:t>
      При этом законодательством государства-члена должно быть установлено, что исполнение поручений (заявок) клиента осуществляется брокером в порядке их поступления в полном соответствии с полученными от клиента указаниями. В случае если в процессе совершения операции возникает необходимость изменения условий сделки, брокер должен согласовать свои действия с клиентом.</w:t>
      </w:r>
    </w:p>
    <w:bookmarkEnd w:id="135"/>
    <w:bookmarkStart w:name="z142" w:id="136"/>
    <w:p>
      <w:pPr>
        <w:spacing w:after="0"/>
        <w:ind w:left="0"/>
        <w:jc w:val="left"/>
      </w:pPr>
      <w:r>
        <w:rPr>
          <w:rFonts w:ascii="Times New Roman"/>
          <w:b/>
          <w:i w:val="false"/>
          <w:color w:val="000000"/>
        </w:rPr>
        <w:t xml:space="preserve"> 6.3. Оценка клиента</w:t>
      </w:r>
    </w:p>
    <w:bookmarkEnd w:id="136"/>
    <w:bookmarkStart w:name="z143" w:id="137"/>
    <w:p>
      <w:pPr>
        <w:spacing w:after="0"/>
        <w:ind w:left="0"/>
        <w:jc w:val="both"/>
      </w:pPr>
      <w:r>
        <w:rPr>
          <w:rFonts w:ascii="Times New Roman"/>
          <w:b w:val="false"/>
          <w:i w:val="false"/>
          <w:color w:val="000000"/>
          <w:sz w:val="28"/>
        </w:rPr>
        <w:t xml:space="preserve">
      Допускается установление в законодательстве государства-члена дополнительных условий при работе брокера с розничными клиентами (физическими лицами). </w:t>
      </w:r>
    </w:p>
    <w:bookmarkEnd w:id="137"/>
    <w:bookmarkStart w:name="z144" w:id="138"/>
    <w:p>
      <w:pPr>
        <w:spacing w:after="0"/>
        <w:ind w:left="0"/>
        <w:jc w:val="both"/>
      </w:pPr>
      <w:r>
        <w:rPr>
          <w:rFonts w:ascii="Times New Roman"/>
          <w:b w:val="false"/>
          <w:i w:val="false"/>
          <w:color w:val="000000"/>
          <w:sz w:val="28"/>
        </w:rPr>
        <w:t>
      Так, может быть введено требование о проведении брокером предварительной (до предложения инвестировать средства клиента в тот или иной финансовый инструмент) оценки уровня квалификации и риск-профиля розничного клиента. В соответствии с законодательством государства-члена исполнение указаний клиента в отношении сложных и высокорисковых финансовых инструментов может осуществляться исходя из такой оценки только после ознакомления клиента с имеющимися рисками и подписания документа о принятии таких рисков.</w:t>
      </w:r>
    </w:p>
    <w:bookmarkEnd w:id="138"/>
    <w:bookmarkStart w:name="z145" w:id="139"/>
    <w:p>
      <w:pPr>
        <w:spacing w:after="0"/>
        <w:ind w:left="0"/>
        <w:jc w:val="both"/>
      </w:pPr>
      <w:r>
        <w:rPr>
          <w:rFonts w:ascii="Times New Roman"/>
          <w:b w:val="false"/>
          <w:i w:val="false"/>
          <w:color w:val="000000"/>
          <w:sz w:val="28"/>
        </w:rPr>
        <w:t>
      В случае возникновения конфликта интересов брокера и клиента брокер обязан совершить сделку исходя из приоритета интересов клиента над своими интересами.</w:t>
      </w:r>
    </w:p>
    <w:bookmarkEnd w:id="139"/>
    <w:bookmarkStart w:name="z146" w:id="140"/>
    <w:p>
      <w:pPr>
        <w:spacing w:after="0"/>
        <w:ind w:left="0"/>
        <w:jc w:val="left"/>
      </w:pPr>
      <w:r>
        <w:rPr>
          <w:rFonts w:ascii="Times New Roman"/>
          <w:b/>
          <w:i w:val="false"/>
          <w:color w:val="000000"/>
        </w:rPr>
        <w:t xml:space="preserve"> 6.4. Специальные требования к работе со средствами клиентов </w:t>
      </w:r>
    </w:p>
    <w:bookmarkEnd w:id="140"/>
    <w:bookmarkStart w:name="z147" w:id="141"/>
    <w:p>
      <w:pPr>
        <w:spacing w:after="0"/>
        <w:ind w:left="0"/>
        <w:jc w:val="both"/>
      </w:pPr>
      <w:r>
        <w:rPr>
          <w:rFonts w:ascii="Times New Roman"/>
          <w:b w:val="false"/>
          <w:i w:val="false"/>
          <w:color w:val="000000"/>
          <w:sz w:val="28"/>
        </w:rPr>
        <w:t xml:space="preserve">
      В законодательстве государства-члена должна быть установлена норма о том, что в период нахождения у брокера денежных средств (финансовых инструментов) клиента их использование брокером в собственных интересах (в интересах третьих лиц) без соответствующего распоряжения клиента допускается только в случаях, установленных законодательством государства-члена и предусмотренных договором о брокерском обслуживании. </w:t>
      </w:r>
    </w:p>
    <w:bookmarkEnd w:id="141"/>
    <w:bookmarkStart w:name="z148" w:id="142"/>
    <w:p>
      <w:pPr>
        <w:spacing w:after="0"/>
        <w:ind w:left="0"/>
        <w:jc w:val="both"/>
      </w:pPr>
      <w:r>
        <w:rPr>
          <w:rFonts w:ascii="Times New Roman"/>
          <w:b w:val="false"/>
          <w:i w:val="false"/>
          <w:color w:val="000000"/>
          <w:sz w:val="28"/>
        </w:rPr>
        <w:t xml:space="preserve">
      В порядке, установленном законодательством государства-члена, допускается право брокера на основании договора с клиентом предоставлять клиенту денежные средства и (или) финансовые инструменты в заем для совершения сделок при условии предоставления клиентом в залог финансовых инструментов, принадлежащих клиенту и (или) приобретаемых брокером для клиента по маржинальным сделкам. </w:t>
      </w:r>
    </w:p>
    <w:bookmarkEnd w:id="142"/>
    <w:bookmarkStart w:name="z149" w:id="143"/>
    <w:p>
      <w:pPr>
        <w:spacing w:after="0"/>
        <w:ind w:left="0"/>
        <w:jc w:val="both"/>
      </w:pPr>
      <w:r>
        <w:rPr>
          <w:rFonts w:ascii="Times New Roman"/>
          <w:b w:val="false"/>
          <w:i w:val="false"/>
          <w:color w:val="000000"/>
          <w:sz w:val="28"/>
        </w:rPr>
        <w:t>
      Законодательством государства-члена должно быть установлено требование об обязательном учете брокером:</w:t>
      </w:r>
    </w:p>
    <w:bookmarkEnd w:id="143"/>
    <w:bookmarkStart w:name="z150" w:id="144"/>
    <w:p>
      <w:pPr>
        <w:spacing w:after="0"/>
        <w:ind w:left="0"/>
        <w:jc w:val="both"/>
      </w:pPr>
      <w:r>
        <w:rPr>
          <w:rFonts w:ascii="Times New Roman"/>
          <w:b w:val="false"/>
          <w:i w:val="false"/>
          <w:color w:val="000000"/>
          <w:sz w:val="28"/>
        </w:rPr>
        <w:t>
      договоров с клиентами;</w:t>
      </w:r>
    </w:p>
    <w:bookmarkEnd w:id="144"/>
    <w:bookmarkStart w:name="z151" w:id="145"/>
    <w:p>
      <w:pPr>
        <w:spacing w:after="0"/>
        <w:ind w:left="0"/>
        <w:jc w:val="both"/>
      </w:pPr>
      <w:r>
        <w:rPr>
          <w:rFonts w:ascii="Times New Roman"/>
          <w:b w:val="false"/>
          <w:i w:val="false"/>
          <w:color w:val="000000"/>
          <w:sz w:val="28"/>
        </w:rPr>
        <w:t>
      сделок, совершенных в рамках осуществления брокерской деятельности.</w:t>
      </w:r>
    </w:p>
    <w:bookmarkEnd w:id="145"/>
    <w:p>
      <w:pPr>
        <w:spacing w:after="0"/>
        <w:ind w:left="0"/>
        <w:jc w:val="both"/>
      </w:pPr>
      <w:bookmarkStart w:name="z152" w:id="146"/>
      <w:r>
        <w:rPr>
          <w:rFonts w:ascii="Times New Roman"/>
          <w:b w:val="false"/>
          <w:i w:val="false"/>
          <w:color w:val="000000"/>
          <w:sz w:val="28"/>
        </w:rPr>
        <w:t xml:space="preserve">
      Законодательством государства-члена должна быть установлена обязанность брокера осуществлять раздельный учет собственных денежных средств и (или) финансовых инструментов и денежных средств и (или) финансовых инструментов клиента. Особенности ведения такого раздельного учета и требования к открываемым для учета активов клиента счетам, а также требования в отношении учета операций с активами клиента должны быть установлены законодательством государства-члена. При этом должен быть установлен запрет </w:t>
      </w:r>
    </w:p>
    <w:bookmarkEnd w:id="146"/>
    <w:p>
      <w:pPr>
        <w:spacing w:after="0"/>
        <w:ind w:left="0"/>
        <w:jc w:val="both"/>
      </w:pPr>
      <w:r>
        <w:rPr>
          <w:rFonts w:ascii="Times New Roman"/>
          <w:b w:val="false"/>
          <w:i w:val="false"/>
          <w:color w:val="000000"/>
          <w:sz w:val="28"/>
        </w:rPr>
        <w:t>на обращение взыскания на активы клиента брокера по обязательствам брокера.</w:t>
      </w:r>
    </w:p>
    <w:bookmarkStart w:name="z153" w:id="147"/>
    <w:p>
      <w:pPr>
        <w:spacing w:after="0"/>
        <w:ind w:left="0"/>
        <w:jc w:val="left"/>
      </w:pPr>
      <w:r>
        <w:rPr>
          <w:rFonts w:ascii="Times New Roman"/>
          <w:b/>
          <w:i w:val="false"/>
          <w:color w:val="000000"/>
        </w:rPr>
        <w:t xml:space="preserve"> 6.5. Отчетность брокера перед клиентами </w:t>
      </w:r>
    </w:p>
    <w:bookmarkEnd w:id="147"/>
    <w:bookmarkStart w:name="z154" w:id="148"/>
    <w:p>
      <w:pPr>
        <w:spacing w:after="0"/>
        <w:ind w:left="0"/>
        <w:jc w:val="both"/>
      </w:pPr>
      <w:r>
        <w:rPr>
          <w:rFonts w:ascii="Times New Roman"/>
          <w:b w:val="false"/>
          <w:i w:val="false"/>
          <w:color w:val="000000"/>
          <w:sz w:val="28"/>
        </w:rPr>
        <w:t xml:space="preserve">
      Законодательством государства-члена должна быть установлена обязанность брокера составлять и представлять клиенту отчетность об исполнении его поручений (указаний, заявок). Требования к такой отчетности, ее виды, формат, объем и периодичность представления определяются законодательством государства-члена и (или) внутренними документами брокера, а также договорами о брокерском обслуживании. </w:t>
      </w:r>
    </w:p>
    <w:bookmarkEnd w:id="148"/>
    <w:bookmarkStart w:name="z155" w:id="149"/>
    <w:p>
      <w:pPr>
        <w:spacing w:after="0"/>
        <w:ind w:left="0"/>
        <w:jc w:val="both"/>
      </w:pPr>
      <w:r>
        <w:rPr>
          <w:rFonts w:ascii="Times New Roman"/>
          <w:b w:val="false"/>
          <w:i w:val="false"/>
          <w:color w:val="000000"/>
          <w:sz w:val="28"/>
        </w:rPr>
        <w:t>
      Законодательством государства-члена должна быть установлена обязанность брокера обеспечить рассмотрение поступивших в его адрес обращений (жалоб) о возможном нарушении брокером требований законодательства государства-члена, связанных с осуществлением брокерской деятельности на рынке ценных бумаг.</w:t>
      </w:r>
    </w:p>
    <w:bookmarkEnd w:id="149"/>
    <w:bookmarkStart w:name="z156" w:id="150"/>
    <w:p>
      <w:pPr>
        <w:spacing w:after="0"/>
        <w:ind w:left="0"/>
        <w:jc w:val="left"/>
      </w:pPr>
      <w:r>
        <w:rPr>
          <w:rFonts w:ascii="Times New Roman"/>
          <w:b/>
          <w:i w:val="false"/>
          <w:color w:val="000000"/>
        </w:rPr>
        <w:t xml:space="preserve"> 7. Требования к программному обеспечению и защите информационных ресурсов</w:t>
      </w:r>
    </w:p>
    <w:bookmarkEnd w:id="150"/>
    <w:bookmarkStart w:name="z157" w:id="151"/>
    <w:p>
      <w:pPr>
        <w:spacing w:after="0"/>
        <w:ind w:left="0"/>
        <w:jc w:val="left"/>
      </w:pPr>
      <w:r>
        <w:rPr>
          <w:rFonts w:ascii="Times New Roman"/>
          <w:b/>
          <w:i w:val="false"/>
          <w:color w:val="000000"/>
        </w:rPr>
        <w:t xml:space="preserve"> 7.1. Требования к наличию зданий, помещений</w:t>
      </w:r>
    </w:p>
    <w:bookmarkEnd w:id="151"/>
    <w:bookmarkStart w:name="z158" w:id="152"/>
    <w:p>
      <w:pPr>
        <w:spacing w:after="0"/>
        <w:ind w:left="0"/>
        <w:jc w:val="both"/>
      </w:pPr>
      <w:r>
        <w:rPr>
          <w:rFonts w:ascii="Times New Roman"/>
          <w:b w:val="false"/>
          <w:i w:val="false"/>
          <w:color w:val="000000"/>
          <w:sz w:val="28"/>
        </w:rPr>
        <w:t>
      В целях обеспечения надлежащего осуществления брокерской деятельности на рынке ценных бумаг законодательством государства-члена могут устанавливаться требования в отношении наличия у брокера помещения (части помещения), а также требования к его оснащению, в том числе в части программно-технических средств.</w:t>
      </w:r>
    </w:p>
    <w:bookmarkEnd w:id="152"/>
    <w:bookmarkStart w:name="z159" w:id="153"/>
    <w:p>
      <w:pPr>
        <w:spacing w:after="0"/>
        <w:ind w:left="0"/>
        <w:jc w:val="left"/>
      </w:pPr>
      <w:r>
        <w:rPr>
          <w:rFonts w:ascii="Times New Roman"/>
          <w:b/>
          <w:i w:val="false"/>
          <w:color w:val="000000"/>
        </w:rPr>
        <w:t xml:space="preserve"> 7.2. Требования к программному обеспечению для осуществления профессиональной деятельности</w:t>
      </w:r>
    </w:p>
    <w:bookmarkEnd w:id="153"/>
    <w:bookmarkStart w:name="z160" w:id="154"/>
    <w:p>
      <w:pPr>
        <w:spacing w:after="0"/>
        <w:ind w:left="0"/>
        <w:jc w:val="both"/>
      </w:pPr>
      <w:r>
        <w:rPr>
          <w:rFonts w:ascii="Times New Roman"/>
          <w:b w:val="false"/>
          <w:i w:val="false"/>
          <w:color w:val="000000"/>
          <w:sz w:val="28"/>
        </w:rPr>
        <w:t>
      Законодательством государства-члена должны быть установлены требования в отношении наличия у брокера программно-технических средств, необходимых для осуществления профессиональной деятельности на рынке ценных бумаг и соответствующих установленным критериям.</w:t>
      </w:r>
    </w:p>
    <w:bookmarkEnd w:id="154"/>
    <w:bookmarkStart w:name="z161" w:id="155"/>
    <w:p>
      <w:pPr>
        <w:spacing w:after="0"/>
        <w:ind w:left="0"/>
        <w:jc w:val="both"/>
      </w:pPr>
      <w:r>
        <w:rPr>
          <w:rFonts w:ascii="Times New Roman"/>
          <w:b w:val="false"/>
          <w:i w:val="false"/>
          <w:color w:val="000000"/>
          <w:sz w:val="28"/>
        </w:rPr>
        <w:t>
      Также может быть установлен минимально необходимый функционал программно-технических средств и иного оборудования, применяемого брокером. Так, в зависимости от видов разрешенных брокеру законодательством государства-члена и предусмотренных договорами о брокерском обслуживании операций со средствами клиентов могут быть определены требования в отношении:</w:t>
      </w:r>
    </w:p>
    <w:bookmarkEnd w:id="155"/>
    <w:bookmarkStart w:name="z162" w:id="156"/>
    <w:p>
      <w:pPr>
        <w:spacing w:after="0"/>
        <w:ind w:left="0"/>
        <w:jc w:val="both"/>
      </w:pPr>
      <w:r>
        <w:rPr>
          <w:rFonts w:ascii="Times New Roman"/>
          <w:b w:val="false"/>
          <w:i w:val="false"/>
          <w:color w:val="000000"/>
          <w:sz w:val="28"/>
        </w:rPr>
        <w:t>
      контроля полноты вводимых данных, необходимых для проведения и регистрации операций;</w:t>
      </w:r>
    </w:p>
    <w:bookmarkEnd w:id="156"/>
    <w:bookmarkStart w:name="z163" w:id="157"/>
    <w:p>
      <w:pPr>
        <w:spacing w:after="0"/>
        <w:ind w:left="0"/>
        <w:jc w:val="both"/>
      </w:pPr>
      <w:r>
        <w:rPr>
          <w:rFonts w:ascii="Times New Roman"/>
          <w:b w:val="false"/>
          <w:i w:val="false"/>
          <w:color w:val="000000"/>
          <w:sz w:val="28"/>
        </w:rPr>
        <w:t>
      возможности поиска, сортировки, просмотра, обработки и хранения информации;</w:t>
      </w:r>
    </w:p>
    <w:bookmarkEnd w:id="157"/>
    <w:bookmarkStart w:name="z164" w:id="158"/>
    <w:p>
      <w:pPr>
        <w:spacing w:after="0"/>
        <w:ind w:left="0"/>
        <w:jc w:val="both"/>
      </w:pPr>
      <w:r>
        <w:rPr>
          <w:rFonts w:ascii="Times New Roman"/>
          <w:b w:val="false"/>
          <w:i w:val="false"/>
          <w:color w:val="000000"/>
          <w:sz w:val="28"/>
        </w:rPr>
        <w:t>
      автоматизации формирования отчетных форм;</w:t>
      </w:r>
    </w:p>
    <w:bookmarkEnd w:id="158"/>
    <w:bookmarkStart w:name="z165" w:id="159"/>
    <w:p>
      <w:pPr>
        <w:spacing w:after="0"/>
        <w:ind w:left="0"/>
        <w:jc w:val="both"/>
      </w:pPr>
      <w:r>
        <w:rPr>
          <w:rFonts w:ascii="Times New Roman"/>
          <w:b w:val="false"/>
          <w:i w:val="false"/>
          <w:color w:val="000000"/>
          <w:sz w:val="28"/>
        </w:rPr>
        <w:t>
      автоматизированного ведения журналов внутреннего учета;</w:t>
      </w:r>
    </w:p>
    <w:bookmarkEnd w:id="159"/>
    <w:bookmarkStart w:name="z166" w:id="160"/>
    <w:p>
      <w:pPr>
        <w:spacing w:after="0"/>
        <w:ind w:left="0"/>
        <w:jc w:val="both"/>
      </w:pPr>
      <w:r>
        <w:rPr>
          <w:rFonts w:ascii="Times New Roman"/>
          <w:b w:val="false"/>
          <w:i w:val="false"/>
          <w:color w:val="000000"/>
          <w:sz w:val="28"/>
        </w:rPr>
        <w:t>
      применения системы двойного ввода заявок клиентов;</w:t>
      </w:r>
    </w:p>
    <w:bookmarkEnd w:id="160"/>
    <w:bookmarkStart w:name="z167" w:id="161"/>
    <w:p>
      <w:pPr>
        <w:spacing w:after="0"/>
        <w:ind w:left="0"/>
        <w:jc w:val="both"/>
      </w:pPr>
      <w:r>
        <w:rPr>
          <w:rFonts w:ascii="Times New Roman"/>
          <w:b w:val="false"/>
          <w:i w:val="false"/>
          <w:color w:val="000000"/>
          <w:sz w:val="28"/>
        </w:rPr>
        <w:t>
      возможности обмена электронными документами;</w:t>
      </w:r>
    </w:p>
    <w:bookmarkEnd w:id="161"/>
    <w:bookmarkStart w:name="z168" w:id="162"/>
    <w:p>
      <w:pPr>
        <w:spacing w:after="0"/>
        <w:ind w:left="0"/>
        <w:jc w:val="both"/>
      </w:pPr>
      <w:r>
        <w:rPr>
          <w:rFonts w:ascii="Times New Roman"/>
          <w:b w:val="false"/>
          <w:i w:val="false"/>
          <w:color w:val="000000"/>
          <w:sz w:val="28"/>
        </w:rPr>
        <w:t>
      проведения операций по счетам клиента с возможностью учета операций;</w:t>
      </w:r>
    </w:p>
    <w:bookmarkEnd w:id="162"/>
    <w:bookmarkStart w:name="z169" w:id="163"/>
    <w:p>
      <w:pPr>
        <w:spacing w:after="0"/>
        <w:ind w:left="0"/>
        <w:jc w:val="both"/>
      </w:pPr>
      <w:r>
        <w:rPr>
          <w:rFonts w:ascii="Times New Roman"/>
          <w:b w:val="false"/>
          <w:i w:val="false"/>
          <w:color w:val="000000"/>
          <w:sz w:val="28"/>
        </w:rPr>
        <w:t>
      возможности учета активов клиентов;</w:t>
      </w:r>
    </w:p>
    <w:bookmarkEnd w:id="163"/>
    <w:bookmarkStart w:name="z170" w:id="164"/>
    <w:p>
      <w:pPr>
        <w:spacing w:after="0"/>
        <w:ind w:left="0"/>
        <w:jc w:val="both"/>
      </w:pPr>
      <w:r>
        <w:rPr>
          <w:rFonts w:ascii="Times New Roman"/>
          <w:b w:val="false"/>
          <w:i w:val="false"/>
          <w:color w:val="000000"/>
          <w:sz w:val="28"/>
        </w:rPr>
        <w:t>
      взаимодействия с информационной системой фондовой биржи и (или) клиринговой организации в процессе регистрации сделок;</w:t>
      </w:r>
    </w:p>
    <w:bookmarkEnd w:id="164"/>
    <w:bookmarkStart w:name="z171" w:id="165"/>
    <w:p>
      <w:pPr>
        <w:spacing w:after="0"/>
        <w:ind w:left="0"/>
        <w:jc w:val="both"/>
      </w:pPr>
      <w:r>
        <w:rPr>
          <w:rFonts w:ascii="Times New Roman"/>
          <w:b w:val="false"/>
          <w:i w:val="false"/>
          <w:color w:val="000000"/>
          <w:sz w:val="28"/>
        </w:rPr>
        <w:t>
      автоматизированного расчета значений рисков на одного клиента;</w:t>
      </w:r>
    </w:p>
    <w:bookmarkEnd w:id="165"/>
    <w:bookmarkStart w:name="z172" w:id="166"/>
    <w:p>
      <w:pPr>
        <w:spacing w:after="0"/>
        <w:ind w:left="0"/>
        <w:jc w:val="both"/>
      </w:pPr>
      <w:r>
        <w:rPr>
          <w:rFonts w:ascii="Times New Roman"/>
          <w:b w:val="false"/>
          <w:i w:val="false"/>
          <w:color w:val="000000"/>
          <w:sz w:val="28"/>
        </w:rPr>
        <w:t>
      автоматизированного расчета значений пруденциальных нормативов для брокера.</w:t>
      </w:r>
    </w:p>
    <w:bookmarkEnd w:id="166"/>
    <w:bookmarkStart w:name="z173" w:id="167"/>
    <w:p>
      <w:pPr>
        <w:spacing w:after="0"/>
        <w:ind w:left="0"/>
        <w:jc w:val="left"/>
      </w:pPr>
      <w:r>
        <w:rPr>
          <w:rFonts w:ascii="Times New Roman"/>
          <w:b/>
          <w:i w:val="false"/>
          <w:color w:val="000000"/>
        </w:rPr>
        <w:t xml:space="preserve"> 7.3. Требования к защите информационных ресурсов</w:t>
      </w:r>
    </w:p>
    <w:bookmarkEnd w:id="167"/>
    <w:bookmarkStart w:name="z174" w:id="168"/>
    <w:p>
      <w:pPr>
        <w:spacing w:after="0"/>
        <w:ind w:left="0"/>
        <w:jc w:val="both"/>
      </w:pPr>
      <w:r>
        <w:rPr>
          <w:rFonts w:ascii="Times New Roman"/>
          <w:b w:val="false"/>
          <w:i w:val="false"/>
          <w:color w:val="000000"/>
          <w:sz w:val="28"/>
        </w:rPr>
        <w:t>
      В целях противодействия осуществлению незаконных финансовых операций законодательством государства-члена должны быть установлены обязательные для брокеров требования и стандарты в отношении обеспечения защиты информации при осуществлении брокерской деятельности. Так, может быть установлена обязанность:</w:t>
      </w:r>
    </w:p>
    <w:bookmarkEnd w:id="168"/>
    <w:bookmarkStart w:name="z175" w:id="169"/>
    <w:p>
      <w:pPr>
        <w:spacing w:after="0"/>
        <w:ind w:left="0"/>
        <w:jc w:val="both"/>
      </w:pPr>
      <w:r>
        <w:rPr>
          <w:rFonts w:ascii="Times New Roman"/>
          <w:b w:val="false"/>
          <w:i w:val="false"/>
          <w:color w:val="000000"/>
          <w:sz w:val="28"/>
        </w:rPr>
        <w:t>
      осуществлять защиту информации, получаемой, подготавливаемой, обрабатываемой, передаваемой и хранимой в автоматизированных системах, используемых брокером (документов, составляемых работниками или клиентами при осуществлении финансовых операций в электронном виде, информации по авторизации клиентов, сведений о проведенных операциях, документации по криптографической защите и т. д.);</w:t>
      </w:r>
    </w:p>
    <w:bookmarkEnd w:id="169"/>
    <w:bookmarkStart w:name="z176" w:id="170"/>
    <w:p>
      <w:pPr>
        <w:spacing w:after="0"/>
        <w:ind w:left="0"/>
        <w:jc w:val="both"/>
      </w:pPr>
      <w:r>
        <w:rPr>
          <w:rFonts w:ascii="Times New Roman"/>
          <w:b w:val="false"/>
          <w:i w:val="false"/>
          <w:color w:val="000000"/>
          <w:sz w:val="28"/>
        </w:rPr>
        <w:t>
      применять меры по обеспечению безопасности персональных данных;</w:t>
      </w:r>
    </w:p>
    <w:bookmarkEnd w:id="170"/>
    <w:bookmarkStart w:name="z177" w:id="171"/>
    <w:p>
      <w:pPr>
        <w:spacing w:after="0"/>
        <w:ind w:left="0"/>
        <w:jc w:val="both"/>
      </w:pPr>
      <w:r>
        <w:rPr>
          <w:rFonts w:ascii="Times New Roman"/>
          <w:b w:val="false"/>
          <w:i w:val="false"/>
          <w:color w:val="000000"/>
          <w:sz w:val="28"/>
        </w:rPr>
        <w:t>
      проводить сертификацию или оценку соответствия прикладного программного обеспечения автоматизированных систем и приложений;</w:t>
      </w:r>
    </w:p>
    <w:bookmarkEnd w:id="171"/>
    <w:bookmarkStart w:name="z178" w:id="172"/>
    <w:p>
      <w:pPr>
        <w:spacing w:after="0"/>
        <w:ind w:left="0"/>
        <w:jc w:val="both"/>
      </w:pPr>
      <w:r>
        <w:rPr>
          <w:rFonts w:ascii="Times New Roman"/>
          <w:b w:val="false"/>
          <w:i w:val="false"/>
          <w:color w:val="000000"/>
          <w:sz w:val="28"/>
        </w:rPr>
        <w:t>
      осуществлять регулярное тестирование объектов информационной инфраструктуры и анализ их уязвимостей;</w:t>
      </w:r>
    </w:p>
    <w:bookmarkEnd w:id="172"/>
    <w:bookmarkStart w:name="z179" w:id="173"/>
    <w:p>
      <w:pPr>
        <w:spacing w:after="0"/>
        <w:ind w:left="0"/>
        <w:jc w:val="both"/>
      </w:pPr>
      <w:r>
        <w:rPr>
          <w:rFonts w:ascii="Times New Roman"/>
          <w:b w:val="false"/>
          <w:i w:val="false"/>
          <w:color w:val="000000"/>
          <w:sz w:val="28"/>
        </w:rPr>
        <w:t>
      обеспечивать хранение, целостность и доступность информации;</w:t>
      </w:r>
    </w:p>
    <w:bookmarkEnd w:id="173"/>
    <w:bookmarkStart w:name="z180" w:id="174"/>
    <w:p>
      <w:pPr>
        <w:spacing w:after="0"/>
        <w:ind w:left="0"/>
        <w:jc w:val="both"/>
      </w:pPr>
      <w:r>
        <w:rPr>
          <w:rFonts w:ascii="Times New Roman"/>
          <w:b w:val="false"/>
          <w:i w:val="false"/>
          <w:color w:val="000000"/>
          <w:sz w:val="28"/>
        </w:rPr>
        <w:t xml:space="preserve">
      осуществлять регистрацию инцидентов защиты информации, представлять сведения о выявленных инцидентах уполномоченному органу государства-члена, обладающему в соответствии с законодательством этого государства-члена полномочиями по осуществлению государственного регулирования рынка ценных бумаг, в том числе контроля (надзора) за деятельностью его участников (далее – регулятор); </w:t>
      </w:r>
    </w:p>
    <w:bookmarkEnd w:id="174"/>
    <w:bookmarkStart w:name="z181" w:id="175"/>
    <w:p>
      <w:pPr>
        <w:spacing w:after="0"/>
        <w:ind w:left="0"/>
        <w:jc w:val="both"/>
      </w:pPr>
      <w:r>
        <w:rPr>
          <w:rFonts w:ascii="Times New Roman"/>
          <w:b w:val="false"/>
          <w:i w:val="false"/>
          <w:color w:val="000000"/>
          <w:sz w:val="28"/>
        </w:rPr>
        <w:t>
      обеспечивать доведение до своих клиентов информации о возможных рисках несанкционированного доступа к защищаемым данным, а также о мерах по предотвращению несанкционированного доступа.</w:t>
      </w:r>
    </w:p>
    <w:bookmarkEnd w:id="175"/>
    <w:bookmarkStart w:name="z182" w:id="176"/>
    <w:p>
      <w:pPr>
        <w:spacing w:after="0"/>
        <w:ind w:left="0"/>
        <w:jc w:val="left"/>
      </w:pPr>
      <w:r>
        <w:rPr>
          <w:rFonts w:ascii="Times New Roman"/>
          <w:b/>
          <w:i w:val="false"/>
          <w:color w:val="000000"/>
        </w:rPr>
        <w:t xml:space="preserve"> 8. Требования к взаимодействию с регулятором, требования к отчетности, представляемой брокером регулятору</w:t>
      </w:r>
    </w:p>
    <w:bookmarkEnd w:id="176"/>
    <w:bookmarkStart w:name="z183" w:id="177"/>
    <w:p>
      <w:pPr>
        <w:spacing w:after="0"/>
        <w:ind w:left="0"/>
        <w:jc w:val="left"/>
      </w:pPr>
      <w:r>
        <w:rPr>
          <w:rFonts w:ascii="Times New Roman"/>
          <w:b/>
          <w:i w:val="false"/>
          <w:color w:val="000000"/>
        </w:rPr>
        <w:t xml:space="preserve"> 8.1. Требования к взаимодействию с регулятором</w:t>
      </w:r>
    </w:p>
    <w:bookmarkEnd w:id="177"/>
    <w:bookmarkStart w:name="z184" w:id="178"/>
    <w:p>
      <w:pPr>
        <w:spacing w:after="0"/>
        <w:ind w:left="0"/>
        <w:jc w:val="both"/>
      </w:pPr>
      <w:r>
        <w:rPr>
          <w:rFonts w:ascii="Times New Roman"/>
          <w:b w:val="false"/>
          <w:i w:val="false"/>
          <w:color w:val="000000"/>
          <w:sz w:val="28"/>
        </w:rPr>
        <w:t>
      Законодательством государства-члена в отношении процедур, регламентов и периодичности взаимодействия брокеров с регулятором должны устанавливаться нормы, обеспечивающие регулятору возможность постоянного мониторинга надлежащего функционирования брокеров, соблюдения ими установленных законодательством государства-члена требований, в том числе в отношении финансового положения, достаточности собственных средств, их учредителей, акционеров, руководителей и работников.</w:t>
      </w:r>
    </w:p>
    <w:bookmarkEnd w:id="178"/>
    <w:bookmarkStart w:name="z185" w:id="179"/>
    <w:p>
      <w:pPr>
        <w:spacing w:after="0"/>
        <w:ind w:left="0"/>
        <w:jc w:val="both"/>
      </w:pPr>
      <w:r>
        <w:rPr>
          <w:rFonts w:ascii="Times New Roman"/>
          <w:b w:val="false"/>
          <w:i w:val="false"/>
          <w:color w:val="000000"/>
          <w:sz w:val="28"/>
        </w:rPr>
        <w:t>
      Требования к отчетности, представляемой брокером регулятору, ее перечень, формы, состав, объем, порядок, сроки и периодичность должны быть установлены законодательством государства-члена.</w:t>
      </w:r>
    </w:p>
    <w:bookmarkEnd w:id="179"/>
    <w:bookmarkStart w:name="z186" w:id="180"/>
    <w:p>
      <w:pPr>
        <w:spacing w:after="0"/>
        <w:ind w:left="0"/>
        <w:jc w:val="both"/>
      </w:pPr>
      <w:r>
        <w:rPr>
          <w:rFonts w:ascii="Times New Roman"/>
          <w:b w:val="false"/>
          <w:i w:val="false"/>
          <w:color w:val="000000"/>
          <w:sz w:val="28"/>
        </w:rPr>
        <w:t xml:space="preserve">
      В целях повышения эффективности проводимого регулятором контроля (надзора) за деятельностью брокеров (включая принятие регулятором решений в рамках такого контроля (надзора)) посредством проведения мониторинга деятельности брокеров на предмет соответствия требованиям законодательства государства-члена, выявления рисков в деятельности брокеров может использоваться институт кураторства. Кураторами являются работники регулятора, в обязанности которых входит осуществление контроля (надзора) за деятельностью брокеров, а также проведение мониторинга деятельности конкретных брокеров. </w:t>
      </w:r>
    </w:p>
    <w:bookmarkEnd w:id="180"/>
    <w:bookmarkStart w:name="z187" w:id="181"/>
    <w:p>
      <w:pPr>
        <w:spacing w:after="0"/>
        <w:ind w:left="0"/>
        <w:jc w:val="both"/>
      </w:pPr>
      <w:r>
        <w:rPr>
          <w:rFonts w:ascii="Times New Roman"/>
          <w:b w:val="false"/>
          <w:i w:val="false"/>
          <w:color w:val="000000"/>
          <w:sz w:val="28"/>
        </w:rPr>
        <w:t>
      Взаимодействие регулятора и брокера может осуществляться посредством технологий информационно-телекоммуникационной сети "Интернет" (далее – сеть "Интернет") и личных кабинетов на официальном информационном ресурсе регулятора в сети "Интернет". Так, посредством использования личных кабинетов брокеров на официальном информационном ресурсе регулятора в сети "Интернет" могут быть налажены представление отчетности и обмен документами, в том числе процессуальными документами, запросами и предписаниями.</w:t>
      </w:r>
    </w:p>
    <w:bookmarkEnd w:id="181"/>
    <w:bookmarkStart w:name="z188" w:id="182"/>
    <w:p>
      <w:pPr>
        <w:spacing w:after="0"/>
        <w:ind w:left="0"/>
        <w:jc w:val="left"/>
      </w:pPr>
      <w:r>
        <w:rPr>
          <w:rFonts w:ascii="Times New Roman"/>
          <w:b/>
          <w:i w:val="false"/>
          <w:color w:val="000000"/>
        </w:rPr>
        <w:t xml:space="preserve"> 8.2. Требования к отчетности, представляемой брокером регулятору</w:t>
      </w:r>
    </w:p>
    <w:bookmarkEnd w:id="182"/>
    <w:bookmarkStart w:name="z189" w:id="183"/>
    <w:p>
      <w:pPr>
        <w:spacing w:after="0"/>
        <w:ind w:left="0"/>
        <w:jc w:val="both"/>
      </w:pPr>
      <w:r>
        <w:rPr>
          <w:rFonts w:ascii="Times New Roman"/>
          <w:b w:val="false"/>
          <w:i w:val="false"/>
          <w:color w:val="000000"/>
          <w:sz w:val="28"/>
        </w:rPr>
        <w:t>
      Брокером должна представляться регулятору отчетность, содержащая полные и достоверные сведения о его деятельности.</w:t>
      </w:r>
    </w:p>
    <w:bookmarkEnd w:id="183"/>
    <w:bookmarkStart w:name="z190" w:id="184"/>
    <w:p>
      <w:pPr>
        <w:spacing w:after="0"/>
        <w:ind w:left="0"/>
        <w:jc w:val="both"/>
      </w:pPr>
      <w:r>
        <w:rPr>
          <w:rFonts w:ascii="Times New Roman"/>
          <w:b w:val="false"/>
          <w:i w:val="false"/>
          <w:color w:val="000000"/>
          <w:sz w:val="28"/>
        </w:rPr>
        <w:t>
      В состав отчетности, представляемой брокером регулятору, должна включаться информация (в том числе в виде формализованных и структурированных отчетов в соответствии с законодательством государства-члена):</w:t>
      </w:r>
    </w:p>
    <w:bookmarkEnd w:id="184"/>
    <w:bookmarkStart w:name="z191" w:id="185"/>
    <w:p>
      <w:pPr>
        <w:spacing w:after="0"/>
        <w:ind w:left="0"/>
        <w:jc w:val="both"/>
      </w:pPr>
      <w:r>
        <w:rPr>
          <w:rFonts w:ascii="Times New Roman"/>
          <w:b w:val="false"/>
          <w:i w:val="false"/>
          <w:color w:val="000000"/>
          <w:sz w:val="28"/>
        </w:rPr>
        <w:t>
      о профессиональной деятельности брокера на рынке ценных бумаг;</w:t>
      </w:r>
    </w:p>
    <w:bookmarkEnd w:id="185"/>
    <w:bookmarkStart w:name="z192" w:id="186"/>
    <w:p>
      <w:pPr>
        <w:spacing w:after="0"/>
        <w:ind w:left="0"/>
        <w:jc w:val="both"/>
      </w:pPr>
      <w:r>
        <w:rPr>
          <w:rFonts w:ascii="Times New Roman"/>
          <w:b w:val="false"/>
          <w:i w:val="false"/>
          <w:color w:val="000000"/>
          <w:sz w:val="28"/>
        </w:rPr>
        <w:t>
      о выполнении брокером пруденциальных нормативов;</w:t>
      </w:r>
    </w:p>
    <w:bookmarkEnd w:id="186"/>
    <w:bookmarkStart w:name="z193" w:id="187"/>
    <w:p>
      <w:pPr>
        <w:spacing w:after="0"/>
        <w:ind w:left="0"/>
        <w:jc w:val="both"/>
      </w:pPr>
      <w:r>
        <w:rPr>
          <w:rFonts w:ascii="Times New Roman"/>
          <w:b w:val="false"/>
          <w:i w:val="false"/>
          <w:color w:val="000000"/>
          <w:sz w:val="28"/>
        </w:rPr>
        <w:t>
      о руководителях и работниках брокера.</w:t>
      </w:r>
    </w:p>
    <w:bookmarkEnd w:id="187"/>
    <w:bookmarkStart w:name="z194" w:id="188"/>
    <w:p>
      <w:pPr>
        <w:spacing w:after="0"/>
        <w:ind w:left="0"/>
        <w:jc w:val="both"/>
      </w:pPr>
      <w:r>
        <w:rPr>
          <w:rFonts w:ascii="Times New Roman"/>
          <w:b w:val="false"/>
          <w:i w:val="false"/>
          <w:color w:val="000000"/>
          <w:sz w:val="28"/>
        </w:rPr>
        <w:t>
      В состав указанной отчетности в соответствии с законодательством государства-члена может также включаться иная информация (в том числе в виде формализованных и структурированных отчетов в соответствии с законодательством государства-члена), например:</w:t>
      </w:r>
    </w:p>
    <w:bookmarkEnd w:id="188"/>
    <w:bookmarkStart w:name="z195" w:id="189"/>
    <w:p>
      <w:pPr>
        <w:spacing w:after="0"/>
        <w:ind w:left="0"/>
        <w:jc w:val="both"/>
      </w:pPr>
      <w:r>
        <w:rPr>
          <w:rFonts w:ascii="Times New Roman"/>
          <w:b w:val="false"/>
          <w:i w:val="false"/>
          <w:color w:val="000000"/>
          <w:sz w:val="28"/>
        </w:rPr>
        <w:t xml:space="preserve">
      общие сведения об организации; </w:t>
      </w:r>
    </w:p>
    <w:bookmarkEnd w:id="189"/>
    <w:bookmarkStart w:name="z196" w:id="190"/>
    <w:p>
      <w:pPr>
        <w:spacing w:after="0"/>
        <w:ind w:left="0"/>
        <w:jc w:val="both"/>
      </w:pPr>
      <w:r>
        <w:rPr>
          <w:rFonts w:ascii="Times New Roman"/>
          <w:b w:val="false"/>
          <w:i w:val="false"/>
          <w:color w:val="000000"/>
          <w:sz w:val="28"/>
        </w:rPr>
        <w:t>
      сведения:</w:t>
      </w:r>
    </w:p>
    <w:bookmarkEnd w:id="190"/>
    <w:bookmarkStart w:name="z197" w:id="191"/>
    <w:p>
      <w:pPr>
        <w:spacing w:after="0"/>
        <w:ind w:left="0"/>
        <w:jc w:val="both"/>
      </w:pPr>
      <w:r>
        <w:rPr>
          <w:rFonts w:ascii="Times New Roman"/>
          <w:b w:val="false"/>
          <w:i w:val="false"/>
          <w:color w:val="000000"/>
          <w:sz w:val="28"/>
        </w:rPr>
        <w:t>
      об аффилированных лицах, бенефициарных владельцах, учредителях, лицах, которые прямо или косвенно могут влиять на решения организации;</w:t>
      </w:r>
    </w:p>
    <w:bookmarkEnd w:id="191"/>
    <w:bookmarkStart w:name="z198" w:id="192"/>
    <w:p>
      <w:pPr>
        <w:spacing w:after="0"/>
        <w:ind w:left="0"/>
        <w:jc w:val="both"/>
      </w:pPr>
      <w:r>
        <w:rPr>
          <w:rFonts w:ascii="Times New Roman"/>
          <w:b w:val="false"/>
          <w:i w:val="false"/>
          <w:color w:val="000000"/>
          <w:sz w:val="28"/>
        </w:rPr>
        <w:t>
      о структуре собственности брокера;</w:t>
      </w:r>
    </w:p>
    <w:bookmarkEnd w:id="192"/>
    <w:bookmarkStart w:name="z199" w:id="193"/>
    <w:p>
      <w:pPr>
        <w:spacing w:after="0"/>
        <w:ind w:left="0"/>
        <w:jc w:val="both"/>
      </w:pPr>
      <w:r>
        <w:rPr>
          <w:rFonts w:ascii="Times New Roman"/>
          <w:b w:val="false"/>
          <w:i w:val="false"/>
          <w:color w:val="000000"/>
          <w:sz w:val="28"/>
        </w:rPr>
        <w:t xml:space="preserve">
      о банковских счетах; </w:t>
      </w:r>
    </w:p>
    <w:bookmarkEnd w:id="193"/>
    <w:bookmarkStart w:name="z200" w:id="194"/>
    <w:p>
      <w:pPr>
        <w:spacing w:after="0"/>
        <w:ind w:left="0"/>
        <w:jc w:val="both"/>
      </w:pPr>
      <w:r>
        <w:rPr>
          <w:rFonts w:ascii="Times New Roman"/>
          <w:b w:val="false"/>
          <w:i w:val="false"/>
          <w:color w:val="000000"/>
          <w:sz w:val="28"/>
        </w:rPr>
        <w:t>
      о счетах бухгалтерского учета;</w:t>
      </w:r>
    </w:p>
    <w:bookmarkEnd w:id="194"/>
    <w:bookmarkStart w:name="z201" w:id="195"/>
    <w:p>
      <w:pPr>
        <w:spacing w:after="0"/>
        <w:ind w:left="0"/>
        <w:jc w:val="both"/>
      </w:pPr>
      <w:r>
        <w:rPr>
          <w:rFonts w:ascii="Times New Roman"/>
          <w:b w:val="false"/>
          <w:i w:val="false"/>
          <w:color w:val="000000"/>
          <w:sz w:val="28"/>
        </w:rPr>
        <w:t>
      о доходах и расходах;</w:t>
      </w:r>
    </w:p>
    <w:bookmarkEnd w:id="195"/>
    <w:bookmarkStart w:name="z202" w:id="196"/>
    <w:p>
      <w:pPr>
        <w:spacing w:after="0"/>
        <w:ind w:left="0"/>
        <w:jc w:val="both"/>
      </w:pPr>
      <w:r>
        <w:rPr>
          <w:rFonts w:ascii="Times New Roman"/>
          <w:b w:val="false"/>
          <w:i w:val="false"/>
          <w:color w:val="000000"/>
          <w:sz w:val="28"/>
        </w:rPr>
        <w:t>
      об обязательствах дебиторов и обязательствах перед кредиторами;</w:t>
      </w:r>
    </w:p>
    <w:bookmarkEnd w:id="196"/>
    <w:bookmarkStart w:name="z203" w:id="197"/>
    <w:p>
      <w:pPr>
        <w:spacing w:after="0"/>
        <w:ind w:left="0"/>
        <w:jc w:val="both"/>
      </w:pPr>
      <w:r>
        <w:rPr>
          <w:rFonts w:ascii="Times New Roman"/>
          <w:b w:val="false"/>
          <w:i w:val="false"/>
          <w:color w:val="000000"/>
          <w:sz w:val="28"/>
        </w:rPr>
        <w:t>
      о расчете собственных средств;</w:t>
      </w:r>
    </w:p>
    <w:bookmarkEnd w:id="197"/>
    <w:bookmarkStart w:name="z204" w:id="198"/>
    <w:p>
      <w:pPr>
        <w:spacing w:after="0"/>
        <w:ind w:left="0"/>
        <w:jc w:val="both"/>
      </w:pPr>
      <w:r>
        <w:rPr>
          <w:rFonts w:ascii="Times New Roman"/>
          <w:b w:val="false"/>
          <w:i w:val="false"/>
          <w:color w:val="000000"/>
          <w:sz w:val="28"/>
        </w:rPr>
        <w:t>
      о выданных и полученных займах;</w:t>
      </w:r>
    </w:p>
    <w:bookmarkEnd w:id="198"/>
    <w:bookmarkStart w:name="z205" w:id="199"/>
    <w:p>
      <w:pPr>
        <w:spacing w:after="0"/>
        <w:ind w:left="0"/>
        <w:jc w:val="both"/>
      </w:pPr>
      <w:r>
        <w:rPr>
          <w:rFonts w:ascii="Times New Roman"/>
          <w:b w:val="false"/>
          <w:i w:val="false"/>
          <w:color w:val="000000"/>
          <w:sz w:val="28"/>
        </w:rPr>
        <w:t xml:space="preserve">
      о результатах аудиторской проверки; </w:t>
      </w:r>
    </w:p>
    <w:bookmarkEnd w:id="199"/>
    <w:bookmarkStart w:name="z206" w:id="200"/>
    <w:p>
      <w:pPr>
        <w:spacing w:after="0"/>
        <w:ind w:left="0"/>
        <w:jc w:val="both"/>
      </w:pPr>
      <w:r>
        <w:rPr>
          <w:rFonts w:ascii="Times New Roman"/>
          <w:b w:val="false"/>
          <w:i w:val="false"/>
          <w:color w:val="000000"/>
          <w:sz w:val="28"/>
        </w:rPr>
        <w:t>
      о вложениях в ценные бумаги;</w:t>
      </w:r>
    </w:p>
    <w:bookmarkEnd w:id="200"/>
    <w:bookmarkStart w:name="z207" w:id="201"/>
    <w:p>
      <w:pPr>
        <w:spacing w:after="0"/>
        <w:ind w:left="0"/>
        <w:jc w:val="both"/>
      </w:pPr>
      <w:r>
        <w:rPr>
          <w:rFonts w:ascii="Times New Roman"/>
          <w:b w:val="false"/>
          <w:i w:val="false"/>
          <w:color w:val="000000"/>
          <w:sz w:val="28"/>
        </w:rPr>
        <w:t>
      об инвестициях в капитал других юридических лиц;</w:t>
      </w:r>
    </w:p>
    <w:bookmarkEnd w:id="201"/>
    <w:bookmarkStart w:name="z208" w:id="202"/>
    <w:p>
      <w:pPr>
        <w:spacing w:after="0"/>
        <w:ind w:left="0"/>
        <w:jc w:val="both"/>
      </w:pPr>
      <w:r>
        <w:rPr>
          <w:rFonts w:ascii="Times New Roman"/>
          <w:b w:val="false"/>
          <w:i w:val="false"/>
          <w:color w:val="000000"/>
          <w:sz w:val="28"/>
        </w:rPr>
        <w:t>
      о функционировании системы управления рисками брокера;</w:t>
      </w:r>
    </w:p>
    <w:bookmarkEnd w:id="202"/>
    <w:bookmarkStart w:name="z209" w:id="203"/>
    <w:p>
      <w:pPr>
        <w:spacing w:after="0"/>
        <w:ind w:left="0"/>
        <w:jc w:val="both"/>
      </w:pPr>
      <w:r>
        <w:rPr>
          <w:rFonts w:ascii="Times New Roman"/>
          <w:b w:val="false"/>
          <w:i w:val="false"/>
          <w:color w:val="000000"/>
          <w:sz w:val="28"/>
        </w:rPr>
        <w:t>
      о рассмотрении поступивших жалоб на деятельность брокера.</w:t>
      </w:r>
    </w:p>
    <w:bookmarkEnd w:id="203"/>
    <w:bookmarkStart w:name="z210" w:id="204"/>
    <w:p>
      <w:pPr>
        <w:spacing w:after="0"/>
        <w:ind w:left="0"/>
        <w:jc w:val="left"/>
      </w:pPr>
      <w:r>
        <w:rPr>
          <w:rFonts w:ascii="Times New Roman"/>
          <w:b/>
          <w:i w:val="false"/>
          <w:color w:val="000000"/>
        </w:rPr>
        <w:t xml:space="preserve"> 9. Требования к публичному раскрытию информации</w:t>
      </w:r>
    </w:p>
    <w:bookmarkEnd w:id="204"/>
    <w:bookmarkStart w:name="z211" w:id="205"/>
    <w:p>
      <w:pPr>
        <w:spacing w:after="0"/>
        <w:ind w:left="0"/>
        <w:jc w:val="both"/>
      </w:pPr>
      <w:r>
        <w:rPr>
          <w:rFonts w:ascii="Times New Roman"/>
          <w:b w:val="false"/>
          <w:i w:val="false"/>
          <w:color w:val="000000"/>
          <w:sz w:val="28"/>
        </w:rPr>
        <w:t xml:space="preserve">
      Законодательством государства-члена должны быть установлены требования к порядку, срокам, объемам публичного раскрытия брокером информации о своей деятельности, включая информацию, затрагивающую права и интересы его клиентов, а также требования к обеспечению доступности, актуальности, прозрачности и полноты раскрываемых сведений. </w:t>
      </w:r>
    </w:p>
    <w:bookmarkEnd w:id="205"/>
    <w:bookmarkStart w:name="z212" w:id="206"/>
    <w:p>
      <w:pPr>
        <w:spacing w:after="0"/>
        <w:ind w:left="0"/>
        <w:jc w:val="both"/>
      </w:pPr>
      <w:r>
        <w:rPr>
          <w:rFonts w:ascii="Times New Roman"/>
          <w:b w:val="false"/>
          <w:i w:val="false"/>
          <w:color w:val="000000"/>
          <w:sz w:val="28"/>
        </w:rPr>
        <w:t xml:space="preserve">
      Раскрытие информации должно осуществляться в том числе с использованием технологий сети "Интернет". </w:t>
      </w:r>
    </w:p>
    <w:bookmarkEnd w:id="206"/>
    <w:bookmarkStart w:name="z213" w:id="207"/>
    <w:p>
      <w:pPr>
        <w:spacing w:after="0"/>
        <w:ind w:left="0"/>
        <w:jc w:val="both"/>
      </w:pPr>
      <w:r>
        <w:rPr>
          <w:rFonts w:ascii="Times New Roman"/>
          <w:b w:val="false"/>
          <w:i w:val="false"/>
          <w:color w:val="000000"/>
          <w:sz w:val="28"/>
        </w:rPr>
        <w:t>
      Примечание. В настоящем документе содержатся ссылки на следующие принципы Целей и принципов регулирования рынка ценных бумаг Международной организации комиссий по ценным бумагам (IOSCO OPSR):</w:t>
      </w:r>
    </w:p>
    <w:bookmarkEnd w:id="207"/>
    <w:bookmarkStart w:name="z214" w:id="208"/>
    <w:p>
      <w:pPr>
        <w:spacing w:after="0"/>
        <w:ind w:left="0"/>
        <w:jc w:val="both"/>
      </w:pPr>
      <w:r>
        <w:rPr>
          <w:rFonts w:ascii="Times New Roman"/>
          <w:b w:val="false"/>
          <w:i w:val="false"/>
          <w:color w:val="000000"/>
          <w:sz w:val="28"/>
        </w:rPr>
        <w:t>
      Принцип 29: регулирование должно предъявлять минимальные стандарты к допуску рыночных посредников на рынок ценных бумаг;</w:t>
      </w:r>
    </w:p>
    <w:bookmarkEnd w:id="208"/>
    <w:bookmarkStart w:name="z215" w:id="209"/>
    <w:p>
      <w:pPr>
        <w:spacing w:after="0"/>
        <w:ind w:left="0"/>
        <w:jc w:val="both"/>
      </w:pPr>
      <w:r>
        <w:rPr>
          <w:rFonts w:ascii="Times New Roman"/>
          <w:b w:val="false"/>
          <w:i w:val="false"/>
          <w:color w:val="000000"/>
          <w:sz w:val="28"/>
        </w:rPr>
        <w:t>
      Принцип 30: к рыночным посредникам должны предъявляться требования по величине первоначального и текущего капитала, а также иные требования пруденциального характера, соответствующие рискам, принимаемым на себя такими посредниками;</w:t>
      </w:r>
    </w:p>
    <w:bookmarkEnd w:id="209"/>
    <w:bookmarkStart w:name="z216" w:id="210"/>
    <w:p>
      <w:pPr>
        <w:spacing w:after="0"/>
        <w:ind w:left="0"/>
        <w:jc w:val="both"/>
      </w:pPr>
      <w:r>
        <w:rPr>
          <w:rFonts w:ascii="Times New Roman"/>
          <w:b w:val="false"/>
          <w:i w:val="false"/>
          <w:color w:val="000000"/>
          <w:sz w:val="28"/>
        </w:rPr>
        <w:t>
      Принцип 31: к рыночным посредникам должны предъявляться требования по созданию системы внутреннего контроля за соблюдением стандартов по внутренней организации и операционной деятельности в целях защиты интересов клиентов и их активов, а также обеспечения надлежащего контроля за рисками, через которые менеджмент рыночного посредника принимает на себя обязательства по данным вопросам;</w:t>
      </w:r>
    </w:p>
    <w:bookmarkEnd w:id="210"/>
    <w:bookmarkStart w:name="z217" w:id="211"/>
    <w:p>
      <w:pPr>
        <w:spacing w:after="0"/>
        <w:ind w:left="0"/>
        <w:jc w:val="both"/>
      </w:pPr>
      <w:r>
        <w:rPr>
          <w:rFonts w:ascii="Times New Roman"/>
          <w:b w:val="false"/>
          <w:i w:val="false"/>
          <w:color w:val="000000"/>
          <w:sz w:val="28"/>
        </w:rPr>
        <w:t>
      Принцип 32: должны быть предусмотрены процедуры борьбы с последствиями несостоятельности рыночного посредника, направленные на снижение вреда и убытков инвесторов, а также системного риска.</w:t>
      </w:r>
    </w:p>
    <w:bookmarkEnd w:id="2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