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d4663" w14:textId="32d46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внедрении и использовании элементов искусственного интеллекта в сфере внешнеэкономической деятельности в контексте развития механизма "единого окна"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16 декабря 2025 года № 36.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 и в рамках реализации пункта 9.4 </w:t>
      </w:r>
      <w:r>
        <w:rPr>
          <w:rFonts w:ascii="Times New Roman"/>
          <w:b w:val="false"/>
          <w:i w:val="false"/>
          <w:color w:val="000000"/>
          <w:sz w:val="28"/>
        </w:rPr>
        <w:t>плана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реализации Стратегических направлений развития евразийской экономической интеграции до 2025 года, утвержденного распоряжением Совета Евразийской экономической комиссии от 5 апреля 2021 г. № 4,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внедрения и применения технологий искусственного интеллекта в экосистеме управления внешнеэкономической деятельностью и с учетом принципов, заложенных в </w:t>
      </w:r>
      <w:r>
        <w:rPr>
          <w:rFonts w:ascii="Times New Roman"/>
          <w:b w:val="false"/>
          <w:i w:val="false"/>
          <w:color w:val="000000"/>
          <w:sz w:val="28"/>
        </w:rPr>
        <w:t>Описании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эталонной модели национального механизма "единого окна" в системе регулирования внешнеэкономической деятельности, утвержденном Решением Евразийского межправительственного совета от 30 апреля 2019 г. № 6,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рекомендует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государствам – членам Евразийского экономического союза с даты опубликования настоящей Рекомендации на официальном сайте Евразийского экономического союза принимать во внимание информацию, представленную в Обзоре международных практик внедрения и использования элементов искусственного интеллекта в сфере внешнеэкономической деятельности в контексте развития механизма "единого окна" (прилагается в качестве информационного материала).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