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b325" w14:textId="23d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и использовании элементов искусственного интеллекта в сфере внешнеэкономической деятельности в контексте развития механизма "единого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9 декабря 2025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рамках реализации пункта 9.4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и применения технологий искусственного интеллекта в экосистеме управления внешнеэкономической деятельностью и с учетом принципов, заложенных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эталонной модели национального механизма "единого окна" в системе регулирования внешнеэкономической деятельности, утвержденном Решением Евразийского межправительственного совета от 30 апреля 2019 г. № 6,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 – членам Евразийского экономического союза с даты опубликования настоящей Рекомендации на официальном сайте Евразийского экономического союза принимать во внимание информацию, представленную в Обзоре международных практик внедрения и использования элементов искусственного интеллекта в сфере внешнеэкономической деятельности в контексте развития механизма "единого окна" (прилагается в качестве информационного материала).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