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04f9" w14:textId="d490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промышленной кооперации государств – членов Евразийского экономического союза в сфере строительно-дорожного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ноября 2025 года № 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экономической деятельности для промышленного сотрудничества в рамках Евразийского экономического союза (приложение № 1 к Основным направлениям промышленного сотрудничества в рамках Евразийского экономического союза до 2030 года, утвержденным Решением Евразийского межправительственного совета от 1 октября 2024 г. № 2),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кооперации в сфере строительно-дорожного машиностроения между государствами – членами Евразийского экономического союза (далее – государства-члены)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сотрудничество в сфере строительно-дорожного машиностроения по следующим направлениям: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кооперационному сотрудничеству между производителями и поставщиками комплектующих для строительно-дорожной техники государств-членов, в том числе в целях развития производства техники, предусматривающей применение альтернативных источников энергии (газомоторное топливо, электроэнергия, водород);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повышения качества производимых в государствах-членах узлов и комплектующих для строительно-дорожной техники;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применения механизма финансового содействия при реализации государствами-членами совместных кооперационных проектов при производстве строительно-дорожной техники;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обратного инжиниринга в сфере строительно-дорожного машиностроения.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Рассмотреть возможность формирования и представления (при необходимости с грифом ограничения доступа к документу) в Евразийскую экономическую комиссию перечня заинтересованных промышленных предприятий государств-членов, готовых участвовать в реализации совместных кооперационных проектов в сфере строительно-дорожного машиностроения.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выстраивании кооперационных цепочек принимать во внимание перечень, указанный в пункте 2 настоящей Рекомендации (в случае его формирования), и направлять актуализированный перечень по мере необходимости в Евразийскую экономическую комиссию.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