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2165" w14:textId="e2c2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разъяснениях в части классификации высокочастотного кабеля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сентября 2025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единообразного применения единой Товарной номенклатуры внешнеэкономической деятельности Евразийского экономического союза при осуществлении классификации отдельных видов товаров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классификации высокочастотного кабеля, оснащенного соединительными приспособлениями, предназначенного для использования в качестве принадлежности к эндоскопическому медицинскому оборудованию и инструментам, представляющего собой готовое изделие в виде изолированных проводников с разъемами, поименованное в тексте товарной позиции 8544 единой Товарной номенклатуры внешнеэкономической деятельности Евразийского экономического союза, применять положения Основного правила интерпретации 1 Товарной номенклатуры внешнеэкономической деятельности и примечания 2 (а) к группе 90 единой Товарной номенклатуры внешнеэкономической деятельности Евразийского экономического союза, в соответствии с которым части и принадлежности к медицинскому оборудованию, которые сами представляют собой готовые изделия, поименованные в товарной позиции 8544 единой Товарной номенклатуры внешнеэкономической деятельности Евразийского экономического союза, классифицируются в этой товарной позиции.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