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923f" w14:textId="88d9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предложениях Евразийской экономической комиссии по мерам, направленным на снижение уровня дефицита консолидированного бюджета сектора государственного управления в Республике Армения</w:t>
      </w:r>
    </w:p>
    <w:p>
      <w:pPr>
        <w:spacing w:after="0"/>
        <w:ind w:left="0"/>
        <w:jc w:val="both"/>
      </w:pPr>
      <w:r>
        <w:rPr>
          <w:rFonts w:ascii="Times New Roman"/>
          <w:b w:val="false"/>
          <w:i w:val="false"/>
          <w:color w:val="000000"/>
          <w:sz w:val="28"/>
        </w:rPr>
        <w:t>Рекомендация Коллегии Евразийской экономической комиссии от 26 августа 2025 года № 23.</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связи с превышением по итогам 2024 года количественного значения уровня дефицита консолидированного бюджета сектора государственного управления в Республике Армения, установленного </w:t>
      </w:r>
      <w:r>
        <w:rPr>
          <w:rFonts w:ascii="Times New Roman"/>
          <w:b w:val="false"/>
          <w:i w:val="false"/>
          <w:color w:val="000000"/>
          <w:sz w:val="28"/>
        </w:rPr>
        <w:t>статьей 63</w:t>
      </w:r>
      <w:r>
        <w:rPr>
          <w:rFonts w:ascii="Times New Roman"/>
          <w:b w:val="false"/>
          <w:i w:val="false"/>
          <w:color w:val="000000"/>
          <w:sz w:val="28"/>
        </w:rPr>
        <w:t xml:space="preserve"> Договора о Евразийском экономическом союзе от 29 мая 2014 года, в целях реализации подпункта 3 </w:t>
      </w:r>
      <w:r>
        <w:rPr>
          <w:rFonts w:ascii="Times New Roman"/>
          <w:b w:val="false"/>
          <w:i w:val="false"/>
          <w:color w:val="000000"/>
          <w:sz w:val="28"/>
        </w:rPr>
        <w:t>пункта 4</w:t>
      </w:r>
      <w:r>
        <w:rPr>
          <w:rFonts w:ascii="Times New Roman"/>
          <w:b w:val="false"/>
          <w:i w:val="false"/>
          <w:color w:val="000000"/>
          <w:sz w:val="28"/>
        </w:rPr>
        <w:t xml:space="preserve"> Протокола о проведении согласованной макроэкономической политики (приложение № 14 к указанному Договору)</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w:t>
      </w:r>
      <w:r>
        <w:rPr>
          <w:rFonts w:ascii="Times New Roman"/>
          <w:b/>
          <w:i w:val="false"/>
          <w:color w:val="000000"/>
          <w:sz w:val="28"/>
        </w:rPr>
        <w:t>т</w:t>
      </w:r>
      <w:r>
        <w:rPr>
          <w:rFonts w:ascii="Times New Roman"/>
          <w:b w:val="false"/>
          <w:i w:val="false"/>
          <w:color w:val="000000"/>
          <w:sz w:val="28"/>
        </w:rPr>
        <w:t xml:space="preserve"> Республике Армения с даты опубликования настоящей Рекомендации на официальном сайте Евразийского экономического союза учитывать при проведении экономической политики следующие предложения Евразийской экономической комиссии по мерам, направленным на снижение уровня дефицита консолидированного бюджета сектора государственного управления в среднесрочной перспективе:</w:t>
      </w:r>
    </w:p>
    <w:bookmarkEnd w:id="1"/>
    <w:bookmarkStart w:name="z6" w:id="2"/>
    <w:p>
      <w:pPr>
        <w:spacing w:after="0"/>
        <w:ind w:left="0"/>
        <w:jc w:val="both"/>
      </w:pPr>
      <w:r>
        <w:rPr>
          <w:rFonts w:ascii="Times New Roman"/>
          <w:b w:val="false"/>
          <w:i w:val="false"/>
          <w:color w:val="000000"/>
          <w:sz w:val="28"/>
        </w:rPr>
        <w:t>
      изучать возможность совершенствования системы экологических платежей;</w:t>
      </w:r>
    </w:p>
    <w:bookmarkEnd w:id="2"/>
    <w:bookmarkStart w:name="z7" w:id="3"/>
    <w:p>
      <w:pPr>
        <w:spacing w:after="0"/>
        <w:ind w:left="0"/>
        <w:jc w:val="both"/>
      </w:pPr>
      <w:r>
        <w:rPr>
          <w:rFonts w:ascii="Times New Roman"/>
          <w:b w:val="false"/>
          <w:i w:val="false"/>
          <w:color w:val="000000"/>
          <w:sz w:val="28"/>
        </w:rPr>
        <w:t>
      сокращать долю теневой экономики и расширять налогооблагаемую базу посредством ускорения внедрения цифровых фискальных технологий;</w:t>
      </w:r>
    </w:p>
    <w:bookmarkEnd w:id="3"/>
    <w:bookmarkStart w:name="z8" w:id="4"/>
    <w:p>
      <w:pPr>
        <w:spacing w:after="0"/>
        <w:ind w:left="0"/>
        <w:jc w:val="both"/>
      </w:pPr>
      <w:r>
        <w:rPr>
          <w:rFonts w:ascii="Times New Roman"/>
          <w:b w:val="false"/>
          <w:i w:val="false"/>
          <w:color w:val="000000"/>
          <w:sz w:val="28"/>
        </w:rPr>
        <w:t>
      продолжать использование механизма оценки налоговых льгот (налоговых расходов);</w:t>
      </w:r>
    </w:p>
    <w:bookmarkEnd w:id="4"/>
    <w:bookmarkStart w:name="z9" w:id="5"/>
    <w:p>
      <w:pPr>
        <w:spacing w:after="0"/>
        <w:ind w:left="0"/>
        <w:jc w:val="both"/>
      </w:pPr>
      <w:r>
        <w:rPr>
          <w:rFonts w:ascii="Times New Roman"/>
          <w:b w:val="false"/>
          <w:i w:val="false"/>
          <w:color w:val="000000"/>
          <w:sz w:val="28"/>
        </w:rPr>
        <w:t>
      применять механизм государственно-частного партнерства для финансирования приоритетных национальных инвестиционных проектов с целью оптимизации расходов консолидированного бюджета сектора государственного управления;</w:t>
      </w:r>
    </w:p>
    <w:bookmarkEnd w:id="5"/>
    <w:bookmarkStart w:name="z10" w:id="6"/>
    <w:p>
      <w:pPr>
        <w:spacing w:after="0"/>
        <w:ind w:left="0"/>
        <w:jc w:val="both"/>
      </w:pPr>
      <w:r>
        <w:rPr>
          <w:rFonts w:ascii="Times New Roman"/>
          <w:b w:val="false"/>
          <w:i w:val="false"/>
          <w:color w:val="000000"/>
          <w:sz w:val="28"/>
        </w:rPr>
        <w:t>
      повышать эффективность использования средств консолидированного бюджета сектора государственного управления, в том числе за счет первоочередного финансирования бюджетных инвестиций и расходов с наибольшим социально-экономическим эффектом;</w:t>
      </w:r>
    </w:p>
    <w:bookmarkEnd w:id="6"/>
    <w:bookmarkStart w:name="z11" w:id="7"/>
    <w:p>
      <w:pPr>
        <w:spacing w:after="0"/>
        <w:ind w:left="0"/>
        <w:jc w:val="both"/>
      </w:pPr>
      <w:r>
        <w:rPr>
          <w:rFonts w:ascii="Times New Roman"/>
          <w:b w:val="false"/>
          <w:i w:val="false"/>
          <w:color w:val="000000"/>
          <w:sz w:val="28"/>
        </w:rPr>
        <w:t>
      совершенствовать механизм бюджетного планирования, обеспечивающий финансирование капитальных расходов консолидированного бюджета сектора государственного управления на недолговой основе;</w:t>
      </w:r>
    </w:p>
    <w:bookmarkEnd w:id="7"/>
    <w:bookmarkStart w:name="z12" w:id="8"/>
    <w:p>
      <w:pPr>
        <w:spacing w:after="0"/>
        <w:ind w:left="0"/>
        <w:jc w:val="both"/>
      </w:pPr>
      <w:r>
        <w:rPr>
          <w:rFonts w:ascii="Times New Roman"/>
          <w:b w:val="false"/>
          <w:i w:val="false"/>
          <w:color w:val="000000"/>
          <w:sz w:val="28"/>
        </w:rPr>
        <w:t>
      развивать финансовый рынок в целях увеличения доли долга сектора государственного управления в национальной валюте и снижения валютного риска;</w:t>
      </w:r>
    </w:p>
    <w:bookmarkEnd w:id="8"/>
    <w:bookmarkStart w:name="z13" w:id="9"/>
    <w:p>
      <w:pPr>
        <w:spacing w:after="0"/>
        <w:ind w:left="0"/>
        <w:jc w:val="both"/>
      </w:pPr>
      <w:r>
        <w:rPr>
          <w:rFonts w:ascii="Times New Roman"/>
          <w:b w:val="false"/>
          <w:i w:val="false"/>
          <w:color w:val="000000"/>
          <w:sz w:val="28"/>
        </w:rPr>
        <w:t>
      снижать расходы на обслуживание долга сектора государственного управления посредством диверсификации источников заимствований.</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