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7fd" w14:textId="4e4c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приоритетных инструментах реализации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августа 2025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пункта 9.4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значимость реализации механизма "единого окна" для упрощения государственных процедур и бизнес-процессов, связанных с внешнеэкономической деятельностью,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целесообразности применения единых подходов к разработке национальных механизмов "единого окна" и обеспечения их совместимости, а также выработки цифровых решений для дальнейшей реализации национальных механизмов "единого окна" в системе регулирования внешнеэкономической деятельности,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результатов проведенного опроса государственных органов, юридических лиц и бизнес-сообществ государств – членов Евразийского экономического союза (далее – государства-члены) для оценки приоритетности инструментов реализации механизма "единого окна" в системе регулирования внешнеэкономической деятельности, а также с учетом опыта государств-членов и международного опыта в сфере развития механизма "единого окна"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Использовать в качестве приоритетных инструменты реализации механизма "единого окна" в системе регулирования внешнеэкономической деятельности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 с Евразийской экономической комиссией организовать работу по поэтапной разработке описаний приоритетных инструментов, включенных в перечень, предусмотренный приложением к настоящей Рекомендации, руководствуясь необходимостью обеспечения их взаимосвязи и согласованности для последующего эффективного применения.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г. № 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инструментов реализации механизма "единого окна" в системе регулирования внешнеэкономической деятельности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Организационные инструменты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координирующих органов, обеспечивающих реализацию национального механизма "единого окна".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операторов национального механизма "единого окна".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Утверждение национальных стратегий (концепций, программ, проектов, "дорожных карт") развития национального механизма "единого окна".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создания и развития национального механизма "единого окна".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Синхронизация работ по разработке информационно-программных средств на национальном уровне для обеспечения взаимодействия государств – членов Евразийского экономического союза (далее соответственно – государства-члены, Союз).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Правовые инструменты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Принятие правовых актов государств-членов для обеспечения информационного обмена электронными документами и (или) сведениями в рамках механизма "единого окна" при осуществлении внешнеэкономической деятельности, в том числе закрепление в таких актах положений о том, что такие документы и (или) сведения признаются юридически значимыми либо свидетельствуют о фактах, имеющих юридическое значение.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Закрепление в праве Союза положений о том, что документы и (или) сведения, направленные (полученные) посредством механизма "единого окна", имеют юридическую значимость.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международных договоров с государствами, не являющимися членами Союза, и интеграционными объединениями для обеспечения межгосударственного электронного взаимодействия в сфере внешнеэкономической деятельности и взаимного признания документов и сведений, получаемых в электронном виде посредством механизма "единого окна".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в целях обеспечения информационного взаимодействия национальных механизмов "единого окна" между собой и с механизмами "единого окна" третьих стран и интеграционных объединений.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Технологические инструменты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Создание механизма управления данными на национальном уровне.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Создание механизма управления изменениями на национальном уровне.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Создание условий для обеспечения совместимости информационных систем государственных органов и участников внешнеэкономической деятельности с национальным механизмом "единого окна", а также между национальными механизмами "единого окна".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Технические инструменты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Создание и развитие в государствах-членах национальных порталов "единого окна" в сфере внешнеэкономической деятельности.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Разработка технологических решений для взаимодействия национальных механизмов "единого окна" с механизмами "единого окна" третьих стран и интеграционных объединений.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взаимодействия национальных порталов "единого окна" между собой, а также со смежными информационными системами, организация бесшовного доступа к национальному порталу "единого окна" других государств-членов путем однократной идентификации, аутентификации и авторизации пользователя.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Формирование "витрины" цифровых услуг и сервисов.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Реализация общих процессов в целях обеспечения информационного взаимодействия национальных механизмов "единого окна" между собой и с механизмами "единого окна" третьих стран и интеграционных объединений.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