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d578" w14:textId="736d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квалификационных требованиях к наиболее востребованным профессиям в сфере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24 июня 2025 года № 16.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целях исполнения пунктов 1.5.1 и 10.1.4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4,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 при разработке национальных квалификационных требований учитывать квалификационные требования к наиболее востребованным профессиям в сфере строительства, размещенные на официальном сайте Евразийской экономической комиссии на странице Департамента трудовой миграции и социальной защиты в разделе "Рекомендуемые квалификационные требования к наиболее востребованным профессиям на едином рынке труда".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