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b57c" w14:textId="93db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устойчивому развитию рынка мяса крупного рогатого скота в государствах –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13 мая 2025 года № 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результаты анализа состояния рынка мяса крупного рогатого скота в государствах – членах Евразийского экономического союза (далее – государства-члены),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перечня мер по развитию сотрудничества государств – членов Евразийского экономического союза в сфере производства мяса крупного рогатого скота (приложение к Рекомендации Коллегии Евразийской экономической комиссии от 19 марта 2019 г. № 11)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заинтересованным государствам-членам с даты опубликования настоящей Рекомендации на официальном сайте Евразийского экономического союза при осуществлении деятельности по развитию рынка мяса крупного рогатого скота принимать во внимание возможность реализации следующих мер: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инновационных разработок и технологических решений в сфере глубокой переработки мяса крупного рогатого скота с применением новых безотходных технологий;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вовлечение в селекционный процесс достижений в области молекулярной генетики для максимального проявления генетического потенциала крупного рогатого скота (ДНК-тестирование по локусам генов, детерминирующих показатели продуктивности, и т. д.);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по вопросам взаимной торговли мясом крупного рогатого скота и транзита через территории государств-членов живого скота;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совместных мероприятий, в том числе в рамках совместной научно-инновационной деятельности государств-членов.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