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d135" w14:textId="2ecd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собирательной классификационной группировке "Промежуточные, инвестиционные и потребительские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марта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и в целях формирования официальной статистической информации Евразийского экономического союза (далее – Союз) по промежуточным, инвестиционным и потребительским товарам на основе единой Товарной номенклатуры внешнеэкономической деятельности Евразийского экономического союза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 – членам Союза с даты опубликования настоящей Рекомендации на официальном сайте Союза применять международный стандарт "Классификация по широким экономическим категориям" (ШЭК, ред. 5) в части кодов собирательной классификационной группировки "Промежуточные, инвестиционные и потребительские товары", информация о которой размещена на официальном сайте Союза по адресу: https://eec.eaeunion.org/comission/department/dep_stat/union_stat/metadata/classification.php.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