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d135" w14:textId="2ecd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собирательной классификационной группировке "Промежуточные, инвестиционные и потребительские товары"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24 марта 2025 года № 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формирования и распространения официальной статистической информации Евразийского экономического союза (приложение № 4 к Договору о Евразийском экономическом союзе от 29 мая 2014 года) и в целях формирования официальной статистической информации Евразийского экономического союза (далее – Союз) по промежуточным, инвестиционным и потребительским товарам на основе единой Товарной номенклатуры внешнеэкономической деятельности Евразийского экономического союза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рекомендует </w:t>
      </w:r>
      <w:r>
        <w:rPr>
          <w:rFonts w:ascii="Times New Roman"/>
          <w:b w:val="false"/>
          <w:i w:val="false"/>
          <w:color w:val="000000"/>
          <w:sz w:val="28"/>
        </w:rPr>
        <w:t>государствам – членам Союза с даты опубликования настоящей Рекомендации на официальном сайте Союза применять международный стандарт "Классификация по широким экономическим категориям" (ШЭК, ред. 5) в части кодов собирательной классификационной группировки "Промежуточные, инвестиционные и потребительские товары", информация о которой размещена на официальном сайте Союза по адресу: https://eec.eaeunion.org/comission/department/dep_stat/union_stat/metadata/classification.php.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