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97f8" w14:textId="8569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февраля 2025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требований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по истечении 30 рабочих дней с даты опубликования настоящей Рекомендации на официальном сайте Евразийского экономического союза применять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(приложение к Рекомендации Коллегии Евразийской экономической комиссии от 4 сентября 2017 г. № 17), с учетом изменений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г. № 2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 позиции 79, 83 и 139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14155-2022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14155:2020,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исследования медицинских изделий, проводимые с участием человека в качестве субъекта. Надлежащая клиническая практика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10, приложения А, Н, 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10, приложения А, Н, 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10, приложения А, Н, I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15223-1-2023 (ISO 15223-1:2021,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Символы, применяемые для передачи информации, предоставляемой изготовителем. Часть 1. Основные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5.4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62366-1-2023 (IEC 62366-1:2020,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Часть 1. Проектирование медицинских изделий с учетом эксплуатационной пригодности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II позиции 32 и 42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15223-1-2023 (ISO 15223-1:2021,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медицинские. Символы, применяемые для передачи информации, предоставляемой изготовителем. Часть 1. Основные требования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– 5.5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62366-1-2023 (IEC 62366-1:2020, IDT)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медицинские.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Проектирование медицинских изделий с учетом эксплуатационной пригодности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31.03.2025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