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556" w14:textId="12de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("дорожную карту")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15 августа 2025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1 октября 2024 г. № 15 внести в план мероприятий ("дорожную каргу")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2024 - 2026 годы, утвержденный указанным распоряжением,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г. № 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план мероприятий ("дорожную карту")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2024 - 2026 годы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подразделом 7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Привлечение и использование кадрового потенциала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. Мониторинг лучших практик развития кадрового потенциала транспортной отрасли государств- членов, включая привлечение и повышение квалификации работников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члены, Комиссия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информация о результатах мониторинга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Мониторинг применения государствами-членами квалификационных требований,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14 ноября 2023 г. № 31 "О квалификационных требованиях к наиболее востребованным профессиям в сфере автомобильного транспорта"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 члены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 на заседании Совета руководителей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Подготовка предложений, касающихся квалификационных требований к наиболее востребованным профессиям в сфере транспорта, за исключением требований в сфере гражданской авиации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 члены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 (при необходимости)".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