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0c9d" w14:textId="6ce0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масштабных высокотехнологичных проектах, способных стать символами евразийской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совместно с государствами – членами Евразийского экономического союза продолжить работу по реализации совместных масштабных высокотехнологичных проектов, способных стать символами евразийской интеграции,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оказания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пункт 6.4.3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г. № 29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пункт 6.4.3 плана мероприятий по реализации Стратегических направлений развития евразийской экономической интеграции до 2025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6.4.3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6.4.3. Реализация государствами-членами совместных масштабных высокотехнологич-ных проектов, способных стать символами евразийской интеграции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с государствами-членами предложений по перечню совместных масштабных высокотехнологичных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профильных консульта-тивных комитетов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критериев отбора совместных масштабных высокотехнологичных проектов, способных стать символами евразийской интеграции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Коллегии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проделанной работе по определению перечня совместных масштабных высокотехнологичных проектов для рассмотрения органами Союза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