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0c9d" w14:textId="6ce0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масштабных высокотехнологичных проектах, способных стать символами евразийской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совместно с государствами – членами Евразийского экономического союза продолжить работу по реализации совместных масштабных высокотехнологичных проектов, способных стать символами евразийской интеграции,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оказания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пункт 6.4.3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г. № 29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пункт 6.4.3 плана мероприятий по реализации Стратегических направлений развития евразийской экономической интеграции до 2025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6.4.3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 Реализация государствами-членами совместных масштабных высокотехнологич-ных проектов, способных стать символами евразийской интеграции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с государствами-членами предложений по перечню совместных масштабных высокотехнологичных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профильных консульта-тивных комитетов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критериев отбора совместных масштабных высокотехнологичных проектов, способных стать символами евразийской интеграции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проделанной работе по определению перечня совместных масштабных высокотехнологичных проектов для рассмотрения органами Союза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