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2d8b" w14:textId="8af2d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пункт 3 Решения Комиссии Таможенного союза от 9 декабря 2011 г. № 877</w:t>
      </w:r>
    </w:p>
    <w:p>
      <w:pPr>
        <w:spacing w:after="0"/>
        <w:ind w:left="0"/>
        <w:jc w:val="both"/>
      </w:pPr>
      <w:r>
        <w:rPr>
          <w:rFonts w:ascii="Times New Roman"/>
          <w:b w:val="false"/>
          <w:i w:val="false"/>
          <w:color w:val="000000"/>
          <w:sz w:val="28"/>
        </w:rPr>
        <w:t>Решение Совета Евразийской экономической комиссии от 5 декабря 2025 года № 120.</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52</w:t>
      </w:r>
      <w:r>
        <w:rPr>
          <w:rFonts w:ascii="Times New Roman"/>
          <w:b w:val="false"/>
          <w:i w:val="false"/>
          <w:color w:val="000000"/>
          <w:sz w:val="28"/>
        </w:rPr>
        <w:t xml:space="preserve"> Договора о Евразийском экономическом союзе от 29 мая 2014 года и </w:t>
      </w:r>
      <w:r>
        <w:rPr>
          <w:rFonts w:ascii="Times New Roman"/>
          <w:b w:val="false"/>
          <w:i w:val="false"/>
          <w:color w:val="000000"/>
          <w:sz w:val="28"/>
        </w:rPr>
        <w:t>пунктом 29</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экономиской комиссии </w:t>
      </w:r>
      <w:r>
        <w:rPr>
          <w:rFonts w:ascii="Times New Roman"/>
          <w:b/>
          <w:i w:val="false"/>
          <w:color w:val="000000"/>
          <w:sz w:val="28"/>
        </w:rPr>
        <w:t>реши</w:t>
      </w:r>
      <w:r>
        <w:rPr>
          <w:rFonts w:ascii="Times New Roman"/>
          <w:b/>
          <w:i w:val="false"/>
          <w:color w:val="000000"/>
          <w:sz w:val="28"/>
        </w:rPr>
        <w:t>л:</w:t>
      </w:r>
    </w:p>
    <w:bookmarkEnd w:id="0"/>
    <w:bookmarkStart w:name="z1" w:id="1"/>
    <w:p>
      <w:pPr>
        <w:spacing w:after="0"/>
        <w:ind w:left="0"/>
        <w:jc w:val="both"/>
      </w:pPr>
      <w:r>
        <w:rPr>
          <w:rFonts w:ascii="Times New Roman"/>
          <w:b w:val="false"/>
          <w:i w:val="false"/>
          <w:color w:val="000000"/>
          <w:sz w:val="28"/>
        </w:rPr>
        <w:t xml:space="preserve">
      1. Абзац второй </w:t>
      </w:r>
      <w:r>
        <w:rPr>
          <w:rFonts w:ascii="Times New Roman"/>
          <w:b w:val="false"/>
          <w:i w:val="false"/>
          <w:color w:val="000000"/>
          <w:sz w:val="28"/>
        </w:rPr>
        <w:t>подпункта 3.2.7</w:t>
      </w:r>
      <w:r>
        <w:rPr>
          <w:rFonts w:ascii="Times New Roman"/>
          <w:b w:val="false"/>
          <w:i w:val="false"/>
          <w:color w:val="000000"/>
          <w:sz w:val="28"/>
        </w:rPr>
        <w:t xml:space="preserve"> пункта 3 Решения Комиссии Таможенного союза от 9 декабря 2011 г. № 877 "О принятии технического регламента Таможенного союза "О безопасности колесных транспортных средств" после слов "До 31 декабря 2027 г. в" дополнить словами "Республике Армения,", после слов "правовыми актами" дополнить словами "Правительства Республики Армения,".</w:t>
      </w:r>
    </w:p>
    <w:bookmarkEnd w:id="1"/>
    <w:p>
      <w:pPr>
        <w:spacing w:after="0"/>
        <w:ind w:left="0"/>
        <w:jc w:val="both"/>
      </w:pPr>
      <w:r>
        <w:rPr>
          <w:rFonts w:ascii="Times New Roman"/>
          <w:b w:val="false"/>
          <w:i w:val="false"/>
          <w:color w:val="000000"/>
          <w:sz w:val="28"/>
        </w:rPr>
        <w:t>
      2. Настоящее Решение вступает в силу по истечении 10 календарных дней с даты его официального опубликования.</w:t>
      </w:r>
    </w:p>
    <w:bookmarkStart w:name="z2" w:id="2"/>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Совета Евразийской экономической комиссии:</w:t>
      </w:r>
    </w:p>
    <w:bookmarkEnd w:id="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 Петкевич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 Амангельдиев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