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d5d7" w14:textId="7ddd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14 мая 2024 г.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ноября 2025 года № 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57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2024 г. № 51 "О внесении изменений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союза"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 об оценке соответствия продукции, указанной в приложении к настоящему Решению, выданные в соответствии с законодательством государств – членов Евразийского экономического союза до даты вступления в силу настоящего Решения, действительны до окончания срока их действия, но не позднее 1 января 2026 г.;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обращение продукции, указанной в приложении к настоящему Решению, выпущенной в обращение до 1 января 2026 г., допускается в течение срока ее годности, установленного изготовителем, без наличия государственной регистрации.".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29 июня 2024 г.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