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346a" w14:textId="60d3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8 июля 2025 года № 80.</w:t>
      </w:r>
    </w:p>
    <w:p>
      <w:pPr>
        <w:spacing w:after="0"/>
        <w:ind w:left="0"/>
        <w:jc w:val="both"/>
      </w:pPr>
      <w:bookmarkStart w:name="z4" w:id="0"/>
      <w:r>
        <w:rPr>
          <w:rFonts w:ascii="Times New Roman"/>
          <w:b w:val="false"/>
          <w:i w:val="false"/>
          <w:color w:val="000000"/>
          <w:sz w:val="28"/>
        </w:rPr>
        <w:t xml:space="preserve">
      В соответствии с пунктом 3 статьи 59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пунктом 55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Единые карантинные фитосанитарные требования</w:t>
      </w:r>
      <w:r>
        <w:rPr>
          <w:rFonts w:ascii="Times New Roman"/>
          <w:b w:val="false"/>
          <w:i w:val="false"/>
          <w:color w:val="000000"/>
          <w:sz w:val="28"/>
        </w:rPr>
        <w:t xml:space="preserve">,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 утвержденные Решением Совета Евразийской экономической комиссии от 30 ноября 2016 г. № 157,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8 июля 2025 г. № 80</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bookmarkEnd w:id="4"/>
    <w:bookmarkStart w:name="z10"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таблице 1</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а) в графе второй:</w:t>
      </w:r>
    </w:p>
    <w:bookmarkEnd w:id="6"/>
    <w:p>
      <w:pPr>
        <w:spacing w:after="0"/>
        <w:ind w:left="0"/>
        <w:jc w:val="both"/>
      </w:pPr>
      <w:bookmarkStart w:name="z12" w:id="7"/>
      <w:r>
        <w:rPr>
          <w:rFonts w:ascii="Times New Roman"/>
          <w:b w:val="false"/>
          <w:i w:val="false"/>
          <w:color w:val="000000"/>
          <w:sz w:val="28"/>
        </w:rPr>
        <w:t>
      в пунктах 15 – 29, 31</w:t>
      </w:r>
      <w:r>
        <w:rPr>
          <w:rFonts w:ascii="Times New Roman"/>
          <w:b w:val="false"/>
          <w:i w:val="false"/>
          <w:color w:val="000000"/>
          <w:vertAlign w:val="superscript"/>
        </w:rPr>
        <w:t>1</w:t>
      </w:r>
      <w:r>
        <w:rPr>
          <w:rFonts w:ascii="Times New Roman"/>
          <w:b w:val="false"/>
          <w:i w:val="false"/>
          <w:color w:val="000000"/>
          <w:sz w:val="28"/>
        </w:rPr>
        <w:t>, 32, 33, 35 – 52, 52</w:t>
      </w:r>
      <w:r>
        <w:rPr>
          <w:rFonts w:ascii="Times New Roman"/>
          <w:b w:val="false"/>
          <w:i w:val="false"/>
          <w:color w:val="000000"/>
          <w:vertAlign w:val="superscript"/>
        </w:rPr>
        <w:t>4</w:t>
      </w:r>
      <w:r>
        <w:rPr>
          <w:rFonts w:ascii="Times New Roman"/>
          <w:b w:val="false"/>
          <w:i w:val="false"/>
          <w:color w:val="000000"/>
          <w:sz w:val="28"/>
        </w:rPr>
        <w:t xml:space="preserve"> – 53 слова "(кроме </w:t>
      </w:r>
    </w:p>
    <w:bookmarkEnd w:id="7"/>
    <w:p>
      <w:pPr>
        <w:spacing w:after="0"/>
        <w:ind w:left="0"/>
        <w:jc w:val="both"/>
      </w:pPr>
      <w:r>
        <w:rPr>
          <w:rFonts w:ascii="Times New Roman"/>
          <w:b w:val="false"/>
          <w:i w:val="false"/>
          <w:color w:val="000000"/>
          <w:sz w:val="28"/>
        </w:rPr>
        <w:t>0602 90 100 0)" исключить;</w:t>
      </w:r>
    </w:p>
    <w:bookmarkStart w:name="z13" w:id="8"/>
    <w:p>
      <w:pPr>
        <w:spacing w:after="0"/>
        <w:ind w:left="0"/>
        <w:jc w:val="both"/>
      </w:pPr>
      <w:r>
        <w:rPr>
          <w:rFonts w:ascii="Times New Roman"/>
          <w:b w:val="false"/>
          <w:i w:val="false"/>
          <w:color w:val="000000"/>
          <w:sz w:val="28"/>
        </w:rPr>
        <w:t>
      в пункте 21 слова "груши (Pyrus spp.)," исключить;</w:t>
      </w:r>
    </w:p>
    <w:bookmarkEnd w:id="8"/>
    <w:bookmarkStart w:name="z14" w:id="9"/>
    <w:p>
      <w:pPr>
        <w:spacing w:after="0"/>
        <w:ind w:left="0"/>
        <w:jc w:val="both"/>
      </w:pPr>
      <w:r>
        <w:rPr>
          <w:rFonts w:ascii="Times New Roman"/>
          <w:b w:val="false"/>
          <w:i w:val="false"/>
          <w:color w:val="000000"/>
          <w:sz w:val="28"/>
        </w:rPr>
        <w:t>
      б) пункт 17 в графе третьей после слов "свободных от" дополнить словами "антракноза земляники (Colletotrichum acutatum),";</w:t>
      </w:r>
    </w:p>
    <w:bookmarkEnd w:id="9"/>
    <w:bookmarkStart w:name="z15" w:id="10"/>
    <w:p>
      <w:pPr>
        <w:spacing w:after="0"/>
        <w:ind w:left="0"/>
        <w:jc w:val="both"/>
      </w:pPr>
      <w:r>
        <w:rPr>
          <w:rFonts w:ascii="Times New Roman"/>
          <w:b w:val="false"/>
          <w:i w:val="false"/>
          <w:color w:val="000000"/>
          <w:sz w:val="28"/>
        </w:rPr>
        <w:t>
      в) дополнить пунктом 21</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подвои и черенки груши (Pyrus spp.) (из 0602)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соблюдением пункта 15 настоящей таблицы. Должны происходить из зон и (или) мест производства, свободных от бактериального ожога плодовых культур (Erwinia amylovora)</w:t>
            </w:r>
          </w:p>
          <w:p>
            <w:pPr>
              <w:spacing w:after="20"/>
              <w:ind w:left="20"/>
              <w:jc w:val="both"/>
            </w:pPr>
            <w:r>
              <w:rPr>
                <w:rFonts w:ascii="Times New Roman"/>
                <w:b w:val="false"/>
                <w:i w:val="false"/>
                <w:color w:val="000000"/>
                <w:sz w:val="20"/>
              </w:rPr>
              <w:t>и фитоплазмы истощения груши (Candidatus Phytoplasma pyri), зон, мест и (или) участков производства, свободных от антракноза земляники (Colletotrichum acutatum)".</w:t>
            </w:r>
          </w:p>
        </w:tc>
      </w:tr>
    </w:tbl>
    <w:bookmarkStart w:name="z16"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таблице 4</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а) в пункте 4 текст в графе второй изложить в следующей редакции: "Айва (Cydonia spp.) свежая (0808 40 000 0)";</w:t>
      </w:r>
    </w:p>
    <w:bookmarkEnd w:id="12"/>
    <w:bookmarkStart w:name="z18" w:id="13"/>
    <w:p>
      <w:pPr>
        <w:spacing w:after="0"/>
        <w:ind w:left="0"/>
        <w:jc w:val="both"/>
      </w:pPr>
      <w:r>
        <w:rPr>
          <w:rFonts w:ascii="Times New Roman"/>
          <w:b w:val="false"/>
          <w:i w:val="false"/>
          <w:color w:val="000000"/>
          <w:sz w:val="28"/>
        </w:rPr>
        <w:t>
      б) дополнить пунктом 4</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(Malus spp.), груши (Pyrus spp.), свежие (0808 10, 0808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свободны от азиатской ягодной дрозофилы (Drosophila suzukii), американской сливовой плодожорки (Cydia prunivora), вишневой плодожорки (Cydia packardi), восточной плодожорки (Grapholita molesta), восточной фруктовой мухи (Bactrocera dorsalis), грушевой огневки (Numonia pyrivorella), натальской плодовой мухи (Ceratitis rosa), персиковой плодожорки (Carposina sasakii), плодового долгоносика (Conotrachelus nenuphar), скошеннополосой листовертки (Choristoneura rosaceana), средиземноморской плодовой мухи (Ceratitis capitata), червеца Комстока (Pseudococcus comstocki) и яблонной мухи (Rhagoletis pomonella). Должны происходить из зон, мест и (или) участков производства, свободных от антракноза земляники (Colletotrichum acutatum), бурой монилиозной гнили (Monilinia fructicola)".</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