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e92f" w14:textId="c77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мая 2025 года № 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экономический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предложении первом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3.2.7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"Республике Беларусь" заменить словами "Республике Армения, Республике Беларусь, Кыргызской Республике", слова "Правительства Республики Беларусь" заменить словами "Правительства Республики Армения, Правительства Республики Беларусь, Кабинета Министров Кыргызской Республики";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тридцать девятый пункта 6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указанным Решением, после слова "нужд" дополнить словами "(под единичными транспортными средствами для собственных нужд понимаются отдельные виды авто- и мототранспортных средств и прицепов к авто- и мототранспортным средствам, определенные Евразийской экономической комиссией в качестве транспортных средств для личного пользования)".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подпункта "б" пункта 1 настоящего Решения, который вступает в силу по истечении 90 календарных дней с даты официального опубликования настоящего Решения.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