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f859" w14:textId="f7af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2025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союза, утвержденного Решением Совета Евразийской экономической комиссии от 6 апреля 2016 г. № 47,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"О едином таможенно-тарифном регулировании Евразийского экономического союза"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 (приложение к настоящему Решению).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(приложение к настоящему Решению) вступают в силу по истечении 6 месяцев с даты официального опубликования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 (приложение к настоящему Решению) вступают в силу по истечении 12 месяцев с даты официального опубликования настоящего Решения.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г. № 24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27 ноября 2009 г. № 130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развивающихся стран – пользователей единой системы тарифных преференций Евразийского экономического союза (приложение № 2 к указанному Решению):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нумерацию позиций исключить;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позиции "Многонациональное Государство Боливия" дополнить позицией следующего содержания: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"Королевство Бутан";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позиции "Республика Зимбабве" дополнить позицией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"Иорданское Хашимитское Королевство";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позиции "Республика Куба" дополнить позицией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"Ливанская Республика";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позицию "Республика Маршалловы острова" исключить;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позиции "Независимое Государство Папуа Новая Гвинея" дополнить позицией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"Независимое Государство Самоа";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позиции "Независимое Государство Самоа" дополнить позицией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"Демократическая Республика Сан-Томе и Принсипи";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позицию "Республика Эль-Сальвадор" исключить.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наименее развитых стран – пользователей единой системы тарифных преференций Евразийского экономического союза (приложение № 3 к указанному Решению):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нумерацию позиций исключить;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позицию "Королевство Бутан"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позицию "Республика Союза Мьянма"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Союз Мьянма";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позицию "Федеративная Демократическая Республика Непал"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"Непал";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позицию "Руандийская Республика"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Руанда";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позицию "Демократическая Республика Сан-Томе и Принсипи" исключить.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